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906" w:rsidRDefault="00E81906">
      <w:pPr>
        <w:widowControl/>
        <w:spacing w:line="360" w:lineRule="auto"/>
        <w:jc w:val="left"/>
        <w:textAlignment w:val="center"/>
        <w:rPr>
          <w:rFonts w:ascii="仿宋_GB2312" w:eastAsia="仿宋_GB2312" w:hAnsi="仿宋_GB2312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</w:rPr>
        <w:t>附件</w:t>
      </w:r>
      <w:r>
        <w:rPr>
          <w:rFonts w:ascii="仿宋_GB2312" w:eastAsia="仿宋_GB2312" w:hAnsi="仿宋_GB2312" w:cs="仿宋_GB2312"/>
          <w:color w:val="000000"/>
          <w:kern w:val="0"/>
          <w:sz w:val="24"/>
          <w:szCs w:val="24"/>
        </w:rPr>
        <w:t>4</w:t>
      </w:r>
      <w:r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</w:rPr>
        <w:t>：</w:t>
      </w:r>
    </w:p>
    <w:p w:rsidR="00E81906" w:rsidRDefault="00E81906" w:rsidP="006D7796">
      <w:pPr>
        <w:widowControl/>
        <w:spacing w:beforeLines="100" w:before="312" w:afterLines="100" w:after="312" w:line="360" w:lineRule="auto"/>
        <w:jc w:val="center"/>
        <w:outlineLvl w:val="0"/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</w:pPr>
      <w:bookmarkStart w:id="0" w:name="_Toc17843"/>
      <w:r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级“</w:t>
      </w:r>
      <w:r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  <w:t>1008+</w:t>
      </w:r>
      <w:r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中药学”硕士研究生培养方案</w:t>
      </w:r>
      <w:bookmarkEnd w:id="0"/>
    </w:p>
    <w:tbl>
      <w:tblPr>
        <w:tblW w:w="91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76"/>
        <w:gridCol w:w="879"/>
        <w:gridCol w:w="1229"/>
        <w:gridCol w:w="880"/>
        <w:gridCol w:w="879"/>
        <w:gridCol w:w="1206"/>
        <w:gridCol w:w="879"/>
        <w:gridCol w:w="1574"/>
      </w:tblGrid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所属培养单位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D622B8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生命科学学院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D622B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培养层次</w:t>
            </w:r>
          </w:p>
        </w:tc>
        <w:tc>
          <w:tcPr>
            <w:tcW w:w="3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D622B8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硕士</w:t>
            </w:r>
            <w:r w:rsidR="00743E5E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研究生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一级学科名称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D622B8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中药学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D622B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学科代码</w:t>
            </w:r>
          </w:p>
        </w:tc>
        <w:tc>
          <w:tcPr>
            <w:tcW w:w="3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D622B8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1008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适用年级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D622B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从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2018 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级开始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适用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D622B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修订时间</w:t>
            </w:r>
          </w:p>
        </w:tc>
        <w:tc>
          <w:tcPr>
            <w:tcW w:w="3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4821E5" w:rsidRDefault="00E81906" w:rsidP="00D622B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4821E5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2017</w:t>
            </w:r>
            <w:r w:rsidRPr="004821E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 w:rsidRPr="004821E5"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 6  </w:t>
            </w:r>
            <w:r w:rsidRPr="004821E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覆盖二级学科</w:t>
            </w:r>
          </w:p>
        </w:tc>
        <w:tc>
          <w:tcPr>
            <w:tcW w:w="75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D622B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中药学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学制</w:t>
            </w:r>
          </w:p>
        </w:tc>
        <w:tc>
          <w:tcPr>
            <w:tcW w:w="75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BB647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学分设置</w:t>
            </w:r>
          </w:p>
        </w:tc>
        <w:tc>
          <w:tcPr>
            <w:tcW w:w="75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D622B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总学分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24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学分，其中课程学分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20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学分，其他培养环节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 xml:space="preserve">4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学分。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培养目标</w:t>
            </w:r>
          </w:p>
        </w:tc>
        <w:tc>
          <w:tcPr>
            <w:tcW w:w="75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47E" w:rsidRPr="00725CEF" w:rsidRDefault="00BB647E" w:rsidP="00BB647E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25C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1.热爱祖国，</w:t>
            </w:r>
            <w:r w:rsidRPr="00725CEF">
              <w:rPr>
                <w:rFonts w:ascii="仿宋_GB2312" w:eastAsia="仿宋_GB2312" w:hAnsi="仿宋_GB2312" w:cs="仿宋_GB2312"/>
                <w:sz w:val="24"/>
                <w:szCs w:val="24"/>
              </w:rPr>
              <w:t>遵纪守法</w:t>
            </w:r>
            <w:r w:rsidRPr="00725C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。政治上积极要求进步，具有良好的道德修养， 具有团结合作和创新精神;</w:t>
            </w:r>
          </w:p>
          <w:p w:rsidR="00BB647E" w:rsidRPr="00725CEF" w:rsidRDefault="00BB647E" w:rsidP="00BB647E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25C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2.具有较扎实的专业基本功，较好掌握生物学领域必须的专业知识和较熟练的实验操作技能，了解本学科的前沿和动态，对相近学科有所了解,</w:t>
            </w:r>
            <w:r w:rsidRPr="00725CEF">
              <w:rPr>
                <w:rFonts w:ascii="Times New Roman" w:eastAsia="仿宋_GB2312" w:hAnsi="Times New Roman"/>
                <w:sz w:val="24"/>
                <w:szCs w:val="24"/>
              </w:rPr>
              <w:t>能撰写</w:t>
            </w:r>
            <w:r w:rsidRPr="00725CEF">
              <w:rPr>
                <w:rFonts w:ascii="Times New Roman" w:eastAsia="仿宋_GB2312" w:hAnsi="Times New Roman" w:hint="eastAsia"/>
                <w:sz w:val="24"/>
                <w:szCs w:val="24"/>
              </w:rPr>
              <w:t>一定的</w:t>
            </w:r>
            <w:r w:rsidRPr="00725CEF">
              <w:rPr>
                <w:rFonts w:ascii="Times New Roman" w:eastAsia="仿宋_GB2312" w:hAnsi="Times New Roman"/>
                <w:sz w:val="24"/>
                <w:szCs w:val="24"/>
              </w:rPr>
              <w:t>专业</w:t>
            </w:r>
            <w:r w:rsidRPr="00725CEF">
              <w:rPr>
                <w:rFonts w:ascii="Times New Roman" w:eastAsia="仿宋_GB2312" w:hAnsi="Times New Roman" w:hint="eastAsia"/>
                <w:sz w:val="24"/>
                <w:szCs w:val="24"/>
              </w:rPr>
              <w:t>论文</w:t>
            </w:r>
            <w:r w:rsidRPr="00725C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；</w:t>
            </w:r>
          </w:p>
          <w:p w:rsidR="00BB647E" w:rsidRPr="00725CEF" w:rsidRDefault="00BB647E" w:rsidP="00BB647E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25C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  <w:r w:rsidRPr="00725CEF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725C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掌握一门外国语, 能熟练阅读和准确理解与专业相关的外文资料，并具有一定的外语听、说和书面表达能力。</w:t>
            </w:r>
          </w:p>
          <w:p w:rsidR="00E81906" w:rsidRPr="00BB647E" w:rsidRDefault="00BB647E" w:rsidP="00BB647E">
            <w:pPr>
              <w:pStyle w:val="ac"/>
              <w:autoSpaceDE w:val="0"/>
              <w:autoSpaceDN w:val="0"/>
              <w:adjustRightInd w:val="0"/>
              <w:ind w:firstLineChars="0" w:firstLine="0"/>
              <w:jc w:val="lef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725CEF">
              <w:rPr>
                <w:rFonts w:ascii="Times New Roman" w:eastAsia="仿宋_GB2312" w:hAnsi="Times New Roman" w:hint="eastAsia"/>
                <w:sz w:val="24"/>
                <w:szCs w:val="24"/>
              </w:rPr>
              <w:t>4</w:t>
            </w:r>
            <w:r w:rsidRPr="00725C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.具有从事相关专业的科学研究、教学工作或担任相关专业技术工作的能力。</w:t>
            </w:r>
          </w:p>
        </w:tc>
      </w:tr>
      <w:tr w:rsidR="00E81906" w:rsidRPr="00701E66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szCs w:val="24"/>
              </w:rPr>
              <w:t>课程设置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课程编号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课程名称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（中英文）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学分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课时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开课学期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7E3674" w:rsidRPr="00701E66" w:rsidTr="003A4C5D">
        <w:trPr>
          <w:trHeight w:val="624"/>
        </w:trPr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Default="007E3674" w:rsidP="007E3674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Style w:val="font41"/>
                <w:rFonts w:ascii="仿宋_GB2312" w:eastAsia="仿宋_GB2312" w:hAnsi="仿宋_GB2312" w:cs="仿宋_GB2312" w:hint="eastAsia"/>
                <w:sz w:val="24"/>
                <w:szCs w:val="24"/>
              </w:rPr>
              <w:t>公共必修课：</w:t>
            </w:r>
            <w:r>
              <w:rPr>
                <w:rStyle w:val="font41"/>
                <w:rFonts w:ascii="仿宋_GB2312" w:eastAsia="仿宋_GB2312" w:hAnsi="仿宋_GB2312" w:cs="仿宋_GB2312"/>
                <w:sz w:val="24"/>
                <w:szCs w:val="24"/>
              </w:rPr>
              <w:br/>
              <w:t>7</w:t>
            </w:r>
            <w:r>
              <w:rPr>
                <w:rStyle w:val="font41"/>
                <w:rFonts w:ascii="仿宋_GB2312" w:eastAsia="仿宋_GB2312" w:hAnsi="仿宋_GB2312" w:cs="仿宋_GB2312" w:hint="eastAsia"/>
                <w:sz w:val="24"/>
                <w:szCs w:val="24"/>
              </w:rPr>
              <w:t>学分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000S1101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硕士英语（一）</w:t>
            </w:r>
          </w:p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English for Master Candidates (1)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7E3674" w:rsidRPr="00701E66" w:rsidTr="003A4C5D">
        <w:trPr>
          <w:trHeight w:val="624"/>
        </w:trPr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Default="007E3674" w:rsidP="007E3674">
            <w:pPr>
              <w:widowControl/>
              <w:jc w:val="center"/>
              <w:textAlignment w:val="center"/>
              <w:rPr>
                <w:rStyle w:val="font41"/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000S1102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硕士英语（二）</w:t>
            </w:r>
          </w:p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 xml:space="preserve">English for </w:t>
            </w: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lastRenderedPageBreak/>
              <w:t>Master Candidates (2)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7E3674" w:rsidRPr="00701E66" w:rsidTr="003A4C5D">
        <w:trPr>
          <w:trHeight w:val="624"/>
        </w:trPr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Default="007E3674" w:rsidP="007E3674">
            <w:pPr>
              <w:widowControl/>
              <w:jc w:val="center"/>
              <w:textAlignment w:val="center"/>
              <w:rPr>
                <w:rStyle w:val="font41"/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000S1111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中国特色社会主义理论与实践研究</w:t>
            </w:r>
          </w:p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The Theories and Practice of Socialism with Chinese Characteristics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7E3674" w:rsidRPr="00701E66" w:rsidTr="003A4C5D">
        <w:trPr>
          <w:trHeight w:val="624"/>
        </w:trPr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Default="007E3674" w:rsidP="007E3674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bookmarkStart w:id="1" w:name="_GoBack" w:colFirst="1" w:colLast="7"/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000S1113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自然辩证法</w:t>
            </w:r>
          </w:p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/>
                <w:sz w:val="24"/>
                <w:szCs w:val="24"/>
              </w:rPr>
              <w:t>Introductions of Natural Dialectics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18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F54C4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674" w:rsidRPr="001F54C4" w:rsidRDefault="007E3674" w:rsidP="007E3674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324F67" w:rsidRPr="00701E66" w:rsidTr="003A4C5D">
        <w:trPr>
          <w:trHeight w:val="624"/>
        </w:trPr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Default="00324F67" w:rsidP="00324F6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Style w:val="font41"/>
                <w:rFonts w:ascii="仿宋_GB2312" w:eastAsia="仿宋_GB2312" w:hAnsi="仿宋_GB2312" w:cs="仿宋_GB2312" w:hint="eastAsia"/>
                <w:sz w:val="24"/>
                <w:szCs w:val="24"/>
              </w:rPr>
              <w:t>专业必修课：</w:t>
            </w:r>
            <w:r>
              <w:rPr>
                <w:rStyle w:val="font41"/>
                <w:rFonts w:ascii="仿宋_GB2312" w:eastAsia="仿宋_GB2312" w:hAnsi="仿宋_GB2312" w:cs="仿宋_GB2312"/>
                <w:sz w:val="24"/>
                <w:szCs w:val="24"/>
              </w:rPr>
              <w:br/>
            </w:r>
            <w:r>
              <w:rPr>
                <w:rStyle w:val="font41"/>
                <w:rFonts w:ascii="仿宋_GB2312" w:eastAsia="仿宋_GB2312" w:hAnsi="仿宋_GB2312" w:cs="仿宋_GB2312" w:hint="eastAsia"/>
                <w:sz w:val="24"/>
                <w:szCs w:val="24"/>
              </w:rPr>
              <w:t>≥</w:t>
            </w:r>
            <w:r>
              <w:rPr>
                <w:rStyle w:val="font41"/>
                <w:rFonts w:ascii="仿宋_GB2312" w:eastAsia="仿宋_GB2312" w:hAnsi="仿宋_GB2312" w:cs="仿宋_GB2312"/>
                <w:sz w:val="24"/>
                <w:szCs w:val="24"/>
              </w:rPr>
              <w:t>6</w:t>
            </w:r>
            <w:r>
              <w:rPr>
                <w:rStyle w:val="font41"/>
                <w:rFonts w:ascii="仿宋_GB2312" w:eastAsia="仿宋_GB2312" w:hAnsi="仿宋_GB2312" w:cs="仿宋_GB2312" w:hint="eastAsia"/>
                <w:sz w:val="24"/>
                <w:szCs w:val="24"/>
              </w:rPr>
              <w:t>学分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018S2108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中药学研究进展</w:t>
            </w:r>
          </w:p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Traditional Chinese Medicine research progress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54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导师组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324F67" w:rsidRPr="00701E66" w:rsidTr="003A4C5D">
        <w:trPr>
          <w:trHeight w:val="624"/>
        </w:trPr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Default="00324F67" w:rsidP="00324F67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018S2109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中药现代化研究方法</w:t>
            </w:r>
          </w:p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Chinese  medicine  research methods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54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导师组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651FB4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B4" w:rsidRDefault="00651FB4" w:rsidP="0091269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725CEF">
              <w:rPr>
                <w:rStyle w:val="font41"/>
                <w:rFonts w:ascii="仿宋_GB2312" w:eastAsia="仿宋_GB2312" w:hAnsi="仿宋_GB2312" w:cs="仿宋_GB2312"/>
                <w:sz w:val="24"/>
                <w:szCs w:val="24"/>
                <w:lang w:bidi="ar"/>
              </w:rPr>
              <w:t>公共选修课：</w:t>
            </w:r>
            <w:r w:rsidRPr="00725CEF">
              <w:rPr>
                <w:rStyle w:val="font41"/>
                <w:rFonts w:ascii="仿宋_GB2312" w:eastAsia="仿宋_GB2312" w:hAnsi="仿宋_GB2312" w:cs="仿宋_GB2312"/>
                <w:sz w:val="24"/>
                <w:szCs w:val="24"/>
                <w:lang w:bidi="ar"/>
              </w:rPr>
              <w:br/>
              <w:t>≥</w:t>
            </w:r>
            <w:r w:rsidRPr="00725CEF">
              <w:rPr>
                <w:rStyle w:val="font11"/>
                <w:rFonts w:ascii="仿宋_GB2312" w:eastAsia="仿宋_GB2312" w:hAnsi="仿宋_GB2312" w:cs="仿宋_GB2312"/>
                <w:sz w:val="24"/>
                <w:szCs w:val="24"/>
                <w:lang w:bidi="ar"/>
              </w:rPr>
              <w:t xml:space="preserve"> 2</w:t>
            </w:r>
            <w:r w:rsidRPr="00725CEF">
              <w:rPr>
                <w:rStyle w:val="font41"/>
                <w:rFonts w:ascii="仿宋_GB2312" w:eastAsia="仿宋_GB2312" w:hAnsi="仿宋_GB2312" w:cs="仿宋_GB2312"/>
                <w:sz w:val="24"/>
                <w:szCs w:val="24"/>
                <w:lang w:bidi="ar"/>
              </w:rPr>
              <w:t>学分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B4" w:rsidRPr="00324F67" w:rsidRDefault="00651FB4" w:rsidP="0091269E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B4" w:rsidRPr="00324F67" w:rsidRDefault="00651FB4" w:rsidP="0091269E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B4" w:rsidRPr="00324F67" w:rsidRDefault="00651FB4" w:rsidP="0091269E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B4" w:rsidRPr="00324F67" w:rsidRDefault="00651FB4" w:rsidP="0091269E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B4" w:rsidRPr="00324F67" w:rsidRDefault="00651FB4" w:rsidP="0091269E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B4" w:rsidRPr="00324F67" w:rsidRDefault="00651FB4" w:rsidP="0091269E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B4" w:rsidRPr="00324F67" w:rsidRDefault="00651FB4" w:rsidP="0091269E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324F67" w:rsidRPr="00701E66" w:rsidTr="003A4C5D">
        <w:trPr>
          <w:trHeight w:val="624"/>
        </w:trPr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Default="00324F67" w:rsidP="00324F6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专业选修课：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学分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018S3270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中药资源学</w:t>
            </w:r>
          </w:p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Chinese Medicinal Material Resources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proofErr w:type="gramStart"/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康杰芳</w:t>
            </w:r>
            <w:proofErr w:type="gramEnd"/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324F67" w:rsidRPr="00701E66" w:rsidTr="003A4C5D">
        <w:trPr>
          <w:trHeight w:val="624"/>
        </w:trPr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Default="00324F67" w:rsidP="00324F67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018S3271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中药化学</w:t>
            </w:r>
          </w:p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Chemistry of Traditional Chinese Medicine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李翠芹、张延妮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324F67" w:rsidRPr="00701E66" w:rsidTr="003A4C5D">
        <w:trPr>
          <w:trHeight w:val="624"/>
        </w:trPr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Default="00324F67" w:rsidP="00324F67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018S3272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生化药理</w:t>
            </w:r>
          </w:p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biochemical pharmacology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李发荣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324F67" w:rsidRPr="00701E66" w:rsidTr="003A4C5D">
        <w:trPr>
          <w:trHeight w:val="624"/>
        </w:trPr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Default="00324F67" w:rsidP="00324F67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018S3273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植物次生代谢工程</w:t>
            </w:r>
          </w:p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Metabolic Engineering of Plant Secondary Metabolism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张媛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324F67" w:rsidRPr="00701E66" w:rsidTr="003A4C5D">
        <w:trPr>
          <w:trHeight w:val="624"/>
        </w:trPr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Default="00324F67" w:rsidP="00324F67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018S3274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中药分析学</w:t>
            </w:r>
          </w:p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A</w:t>
            </w: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nalysis</w:t>
            </w: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of </w:t>
            </w: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Traditional Chinese Medicine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张延妮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324F67" w:rsidRPr="00701E66" w:rsidTr="003A4C5D">
        <w:trPr>
          <w:trHeight w:val="624"/>
        </w:trPr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Default="00324F67" w:rsidP="00324F67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018S3275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中药成分鉴定</w:t>
            </w:r>
          </w:p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The identification of the constitute from Traditional Chinese Medicine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proofErr w:type="gramStart"/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董旭俊</w:t>
            </w:r>
            <w:proofErr w:type="gramEnd"/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324F67" w:rsidRPr="00701E66" w:rsidTr="003A4C5D">
        <w:trPr>
          <w:trHeight w:val="624"/>
        </w:trPr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Default="00324F67" w:rsidP="00324F67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 w:hint="eastAsia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018S3276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中药药剂学选论</w:t>
            </w:r>
          </w:p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Traditional Chinese medicine pharmacy monograph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36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24F67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proofErr w:type="gramStart"/>
            <w:r w:rsidRPr="00324F67">
              <w:rPr>
                <w:rFonts w:ascii="Times New Roman" w:eastAsia="仿宋_GB2312" w:hAnsi="Times New Roman" w:hint="eastAsia"/>
                <w:sz w:val="24"/>
                <w:szCs w:val="24"/>
              </w:rPr>
              <w:t>魏希颖</w:t>
            </w:r>
            <w:proofErr w:type="gramEnd"/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67" w:rsidRPr="00324F67" w:rsidRDefault="00324F67" w:rsidP="00324F67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bookmarkEnd w:id="1"/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其他要求</w:t>
            </w:r>
          </w:p>
        </w:tc>
        <w:tc>
          <w:tcPr>
            <w:tcW w:w="75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677CF4" w:rsidP="005C4CFA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725C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专业选修课中跨学科选修课至少1门(</w:t>
            </w:r>
            <w:r w:rsidRPr="00725CEF">
              <w:rPr>
                <w:rFonts w:ascii="仿宋" w:eastAsia="仿宋" w:hAnsi="仿宋" w:cs="仿宋_GB2312" w:hint="eastAsia"/>
                <w:sz w:val="24"/>
                <w:szCs w:val="24"/>
              </w:rPr>
              <w:t>≧</w:t>
            </w:r>
            <w:r w:rsidRPr="00725CEF">
              <w:rPr>
                <w:rFonts w:ascii="仿宋_GB2312" w:eastAsia="仿宋_GB2312" w:hAnsi="仿宋_GB2312" w:cs="仿宋_GB2312"/>
                <w:sz w:val="24"/>
                <w:szCs w:val="24"/>
              </w:rPr>
              <w:t>1</w:t>
            </w:r>
            <w:r w:rsidRPr="00725C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学分)</w:t>
            </w:r>
          </w:p>
        </w:tc>
      </w:tr>
      <w:tr w:rsidR="00E81906" w:rsidRPr="00701E66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szCs w:val="24"/>
              </w:rPr>
              <w:lastRenderedPageBreak/>
              <w:t>其他培养环节及要求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其他培养环节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D622B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学分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D622B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内容或要求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D622B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考核时间及方式</w:t>
            </w:r>
          </w:p>
        </w:tc>
      </w:tr>
      <w:tr w:rsidR="00115E5D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25CEF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学术交流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25C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</w:rPr>
            </w:pPr>
            <w:r w:rsidRPr="00725CEF">
              <w:rPr>
                <w:rFonts w:ascii="仿宋_GB2312" w:eastAsia="仿宋_GB2312" w:hAnsi="仿宋_GB2312" w:cs="仿宋_GB2312" w:hint="eastAsia"/>
              </w:rPr>
              <w:t>至少</w:t>
            </w:r>
            <w:proofErr w:type="gramStart"/>
            <w:r w:rsidRPr="00725CEF">
              <w:rPr>
                <w:rFonts w:ascii="仿宋_GB2312" w:eastAsia="仿宋_GB2312" w:hAnsi="仿宋_GB2312" w:cs="仿宋_GB2312" w:hint="eastAsia"/>
              </w:rPr>
              <w:t>听</w:t>
            </w:r>
            <w:r w:rsidRPr="00725CEF">
              <w:rPr>
                <w:rFonts w:ascii="仿宋_GB2312" w:eastAsia="仿宋_GB2312" w:hAnsi="仿宋_GB2312" w:cs="仿宋_GB2312"/>
              </w:rPr>
              <w:t>学术</w:t>
            </w:r>
            <w:proofErr w:type="gramEnd"/>
            <w:r w:rsidRPr="00725CEF">
              <w:rPr>
                <w:rFonts w:ascii="仿宋_GB2312" w:eastAsia="仿宋_GB2312" w:hAnsi="仿宋_GB2312" w:cs="仿宋_GB2312"/>
              </w:rPr>
              <w:t>报告</w:t>
            </w:r>
            <w:r w:rsidRPr="00725CEF">
              <w:rPr>
                <w:rFonts w:ascii="仿宋_GB2312" w:eastAsia="仿宋_GB2312" w:hAnsi="仿宋_GB2312" w:cs="仿宋_GB2312" w:hint="eastAsia"/>
              </w:rPr>
              <w:t>12次，或公开在本学科或本培养单位的学术论坛做学术报告1次，</w:t>
            </w:r>
            <w:r w:rsidRPr="00725CEF">
              <w:rPr>
                <w:rFonts w:ascii="Times New Roman" w:eastAsia="仿宋_GB2312" w:hAnsi="Times New Roman" w:hint="eastAsia"/>
              </w:rPr>
              <w:t>或</w:t>
            </w:r>
            <w:r w:rsidRPr="00725CEF">
              <w:rPr>
                <w:rFonts w:ascii="仿宋_GB2312" w:eastAsia="仿宋_GB2312" w:hAnsi="仿宋_GB2312" w:cs="仿宋_GB2312" w:hint="eastAsia"/>
              </w:rPr>
              <w:t>在本学科或本培养单位的学术论坛</w:t>
            </w:r>
            <w:r w:rsidRPr="00725CEF">
              <w:rPr>
                <w:rFonts w:ascii="Times New Roman" w:eastAsia="仿宋_GB2312" w:hAnsi="Times New Roman" w:hint="eastAsia"/>
              </w:rPr>
              <w:t>参加海报展示</w:t>
            </w:r>
            <w:r w:rsidRPr="00725CEF">
              <w:rPr>
                <w:rFonts w:ascii="Times New Roman" w:eastAsia="仿宋_GB2312" w:hAnsi="Times New Roman" w:hint="eastAsia"/>
              </w:rPr>
              <w:t>1</w:t>
            </w:r>
            <w:r w:rsidRPr="00725CEF">
              <w:rPr>
                <w:rFonts w:ascii="Times New Roman" w:eastAsia="仿宋_GB2312" w:hAnsi="Times New Roman"/>
              </w:rPr>
              <w:t>次</w:t>
            </w:r>
            <w:r w:rsidRPr="00725CEF">
              <w:rPr>
                <w:rFonts w:ascii="Times New Roman" w:eastAsia="仿宋_GB2312" w:hAnsi="Times New Roman" w:hint="eastAsia"/>
              </w:rPr>
              <w:t>。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725CEF">
              <w:rPr>
                <w:rFonts w:ascii="仿宋_GB2312" w:eastAsia="仿宋_GB2312" w:hAnsi="仿宋_GB2312" w:cs="仿宋_GB2312" w:hint="eastAsia"/>
              </w:rPr>
              <w:t>在读期间</w:t>
            </w:r>
          </w:p>
        </w:tc>
      </w:tr>
      <w:tr w:rsidR="00115E5D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25CEF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中期考核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25C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</w:rPr>
            </w:pPr>
            <w:r w:rsidRPr="00725CEF">
              <w:rPr>
                <w:rFonts w:ascii="仿宋_GB2312" w:eastAsia="仿宋_GB2312" w:hAnsi="仿宋_GB2312" w:cs="仿宋_GB2312" w:hint="eastAsia"/>
              </w:rPr>
              <w:t>应覆盖学生对于本学科及相关领域的基础理论的掌握、前沿进展及学术史的了解程度、以及学术研究及工作能力等。同时需对已完成研究工作的学术规范行为进行审查。中期考核</w:t>
            </w:r>
            <w:r w:rsidRPr="00725CEF">
              <w:rPr>
                <w:rFonts w:ascii="仿宋_GB2312" w:eastAsia="仿宋_GB2312" w:hAnsi="仿宋_GB2312" w:cs="仿宋_GB2312"/>
              </w:rPr>
              <w:t>合格。</w:t>
            </w:r>
            <w:r>
              <w:rPr>
                <w:rFonts w:ascii="仿宋_GB2312" w:eastAsia="仿宋_GB2312" w:hAnsi="仿宋_GB2312" w:cs="仿宋_GB2312" w:hint="eastAsia"/>
              </w:rPr>
              <w:t>具体</w:t>
            </w:r>
            <w:r>
              <w:rPr>
                <w:rFonts w:ascii="仿宋_GB2312" w:eastAsia="仿宋_GB2312" w:hAnsi="仿宋_GB2312" w:cs="仿宋_GB2312"/>
              </w:rPr>
              <w:t>依据《</w:t>
            </w:r>
            <w:r w:rsidRPr="002B2721">
              <w:rPr>
                <w:rFonts w:ascii="仿宋_GB2312" w:eastAsia="仿宋_GB2312" w:hAnsi="仿宋_GB2312" w:cs="仿宋_GB2312" w:hint="eastAsia"/>
              </w:rPr>
              <w:t>陕西师范大学硕士学位研究生中期考核筛选暂行办法</w:t>
            </w:r>
            <w:r>
              <w:rPr>
                <w:rFonts w:ascii="仿宋_GB2312" w:eastAsia="仿宋_GB2312" w:hAnsi="仿宋_GB2312" w:cs="仿宋_GB2312"/>
              </w:rPr>
              <w:t>》</w:t>
            </w:r>
            <w:r>
              <w:rPr>
                <w:rFonts w:ascii="仿宋_GB2312" w:eastAsia="仿宋_GB2312" w:hAnsi="仿宋_GB2312" w:cs="仿宋_GB2312" w:hint="eastAsia"/>
              </w:rPr>
              <w:t>执行</w:t>
            </w:r>
            <w:r>
              <w:rPr>
                <w:rFonts w:ascii="仿宋_GB2312" w:eastAsia="仿宋_GB2312" w:hAnsi="仿宋_GB2312" w:cs="仿宋_GB2312"/>
              </w:rPr>
              <w:t>。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725C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第三学期</w:t>
            </w:r>
          </w:p>
        </w:tc>
      </w:tr>
      <w:tr w:rsidR="00115E5D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25CEF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开题报告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725CEF">
              <w:rPr>
                <w:rFonts w:ascii="仿宋_GB2312" w:eastAsia="仿宋_GB2312" w:hAnsi="仿宋_GB2312" w:cs="仿宋_GB2312" w:hint="eastAsia"/>
              </w:rPr>
              <w:t>1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</w:rPr>
            </w:pPr>
            <w:r w:rsidRPr="00725CEF">
              <w:rPr>
                <w:rFonts w:ascii="仿宋_GB2312" w:eastAsia="仿宋_GB2312" w:hAnsi="仿宋_GB2312" w:cs="仿宋_GB2312" w:hint="eastAsia"/>
              </w:rPr>
              <w:t>硕士研究生应就论文选题意义、国内外研究综述、主要研究内容和研究方案等</w:t>
            </w:r>
            <w:proofErr w:type="gramStart"/>
            <w:r w:rsidRPr="00725CEF">
              <w:rPr>
                <w:rFonts w:ascii="仿宋_GB2312" w:eastAsia="仿宋_GB2312" w:hAnsi="仿宋_GB2312" w:cs="仿宋_GB2312" w:hint="eastAsia"/>
              </w:rPr>
              <w:t>作出</w:t>
            </w:r>
            <w:proofErr w:type="gramEnd"/>
            <w:r w:rsidRPr="00725CEF">
              <w:rPr>
                <w:rFonts w:ascii="仿宋_GB2312" w:eastAsia="仿宋_GB2312" w:hAnsi="仿宋_GB2312" w:cs="仿宋_GB2312" w:hint="eastAsia"/>
              </w:rPr>
              <w:t>论证，写出书面报告，并在开题报告会上报告。开题报告会考核小组至少由3名副教授或相当职称以上的专家组成。经评审通过的开题报告，应上传至研究生信息管理系统，并以书面形式交各培养单位备案。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25C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第三学期</w:t>
            </w:r>
          </w:p>
        </w:tc>
      </w:tr>
      <w:tr w:rsidR="00115E5D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25CEF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实践环节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725CEF">
              <w:rPr>
                <w:rFonts w:ascii="仿宋_GB2312" w:eastAsia="仿宋_GB2312" w:hAnsi="仿宋_GB2312" w:cs="仿宋_GB2312" w:hint="eastAsia"/>
              </w:rPr>
              <w:t>1</w:t>
            </w: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</w:rPr>
            </w:pPr>
            <w:r w:rsidRPr="00725CEF">
              <w:rPr>
                <w:rFonts w:ascii="仿宋_GB2312" w:eastAsia="仿宋_GB2312" w:hAnsi="仿宋_GB2312" w:cs="仿宋_GB2312" w:hint="eastAsia"/>
              </w:rPr>
              <w:t>硕士研究生完成专业实践、社会实践、创新创业活动、竞赛、高水平论文、获奖成果、获得专利等项中的一项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25C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在读期间</w:t>
            </w:r>
          </w:p>
        </w:tc>
      </w:tr>
      <w:tr w:rsidR="00115E5D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25CEF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预审读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4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ind w:firstLineChars="200" w:firstLine="420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25CEF">
              <w:rPr>
                <w:rFonts w:ascii="仿宋_GB2312" w:eastAsia="仿宋_GB2312" w:hAnsi="仿宋_GB2312" w:cs="仿宋_GB2312" w:hint="eastAsia"/>
              </w:rPr>
              <w:t>导师初审通过后，所在研究生培养单位</w:t>
            </w:r>
            <w:proofErr w:type="gramStart"/>
            <w:r w:rsidRPr="00725CEF">
              <w:rPr>
                <w:rFonts w:ascii="仿宋_GB2312" w:eastAsia="仿宋_GB2312" w:hAnsi="仿宋_GB2312" w:cs="仿宋_GB2312" w:hint="eastAsia"/>
              </w:rPr>
              <w:t>须组织</w:t>
            </w:r>
            <w:proofErr w:type="gramEnd"/>
            <w:r w:rsidRPr="00725CEF">
              <w:rPr>
                <w:rFonts w:ascii="仿宋_GB2312" w:eastAsia="仿宋_GB2312" w:hAnsi="仿宋_GB2312" w:cs="仿宋_GB2312" w:hint="eastAsia"/>
              </w:rPr>
              <w:t>相同或相近专业的教师对论文进行预审读。负责预审读的教师应针对论文中存在的问题提出修改意见，填写《陕西师范大学硕士学位论文预审读简表》，并提交学位分委员会，作为讨论是否同意授予学位的参考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25CE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第六学期</w:t>
            </w:r>
          </w:p>
        </w:tc>
      </w:tr>
      <w:tr w:rsidR="00115E5D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25CEF">
              <w:rPr>
                <w:rFonts w:ascii="Times New Roman" w:eastAsia="仿宋_GB2312" w:hAnsi="Times New Roman"/>
                <w:kern w:val="0"/>
                <w:sz w:val="24"/>
                <w:szCs w:val="24"/>
                <w:lang w:bidi="ar"/>
              </w:rPr>
              <w:t>学位论文</w:t>
            </w:r>
          </w:p>
        </w:tc>
        <w:tc>
          <w:tcPr>
            <w:tcW w:w="75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ind w:firstLineChars="200" w:firstLine="48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25CEF">
              <w:rPr>
                <w:rFonts w:ascii="Times New Roman" w:eastAsia="仿宋_GB2312" w:hAnsi="Times New Roman"/>
                <w:sz w:val="24"/>
                <w:szCs w:val="24"/>
              </w:rPr>
              <w:t>依据</w:t>
            </w:r>
            <w:r w:rsidRPr="00725CEF">
              <w:rPr>
                <w:rFonts w:ascii="Times New Roman" w:eastAsia="仿宋_GB2312" w:hAnsi="Times New Roman" w:hint="eastAsia"/>
                <w:sz w:val="24"/>
                <w:szCs w:val="24"/>
              </w:rPr>
              <w:t>《陕西师范大学关于博士、硕士学位论文答辩的暂行规定</w:t>
            </w:r>
            <w:r w:rsidRPr="00725CEF">
              <w:rPr>
                <w:rFonts w:ascii="Times New Roman" w:eastAsia="仿宋_GB2312" w:hAnsi="Times New Roman"/>
                <w:sz w:val="24"/>
                <w:szCs w:val="24"/>
              </w:rPr>
              <w:t>》</w:t>
            </w:r>
            <w:r w:rsidRPr="00725CEF">
              <w:rPr>
                <w:rFonts w:ascii="Times New Roman" w:eastAsia="仿宋_GB2312" w:hAnsi="Times New Roman" w:hint="eastAsia"/>
                <w:sz w:val="24"/>
                <w:szCs w:val="24"/>
              </w:rPr>
              <w:t>及《</w:t>
            </w:r>
            <w:bookmarkStart w:id="2" w:name="_Toc276030263"/>
            <w:r w:rsidRPr="00725CEF">
              <w:rPr>
                <w:rFonts w:ascii="Times New Roman" w:eastAsia="仿宋_GB2312" w:hAnsi="Times New Roman" w:hint="eastAsia"/>
                <w:sz w:val="24"/>
                <w:szCs w:val="24"/>
              </w:rPr>
              <w:t>陕西师范大学博士、硕士学位论文规范</w:t>
            </w:r>
            <w:bookmarkEnd w:id="2"/>
            <w:r w:rsidRPr="00725CEF">
              <w:rPr>
                <w:rFonts w:ascii="Times New Roman" w:eastAsia="仿宋_GB2312" w:hAnsi="Times New Roman" w:hint="eastAsia"/>
                <w:sz w:val="24"/>
                <w:szCs w:val="24"/>
              </w:rPr>
              <w:t>》执行。</w:t>
            </w:r>
          </w:p>
          <w:p w:rsidR="00115E5D" w:rsidRPr="00725CEF" w:rsidRDefault="00115E5D" w:rsidP="00115E5D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25CEF">
              <w:rPr>
                <w:rFonts w:ascii="Times New Roman" w:eastAsia="仿宋_GB2312" w:hAnsi="Times New Roman" w:hint="eastAsia"/>
                <w:sz w:val="24"/>
                <w:szCs w:val="24"/>
              </w:rPr>
              <w:t>备注</w:t>
            </w:r>
            <w:r w:rsidRPr="00725CEF"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  <w:r w:rsidRPr="00725CEF">
              <w:rPr>
                <w:rFonts w:ascii="Times New Roman" w:eastAsia="仿宋_GB2312" w:hAnsi="Times New Roman" w:hint="eastAsia"/>
                <w:sz w:val="24"/>
                <w:szCs w:val="24"/>
              </w:rPr>
              <w:t>少数民族</w:t>
            </w:r>
            <w:r w:rsidRPr="00725CEF">
              <w:rPr>
                <w:rFonts w:ascii="Times New Roman" w:eastAsia="仿宋_GB2312" w:hAnsi="Times New Roman"/>
                <w:sz w:val="24"/>
                <w:szCs w:val="24"/>
              </w:rPr>
              <w:t>骨干学位论文答辩申请</w:t>
            </w:r>
            <w:r w:rsidRPr="00725CEF">
              <w:rPr>
                <w:rFonts w:ascii="Times New Roman" w:eastAsia="仿宋_GB2312" w:hAnsi="Times New Roman" w:hint="eastAsia"/>
                <w:sz w:val="24"/>
                <w:szCs w:val="24"/>
              </w:rPr>
              <w:t>及答辩要求参考</w:t>
            </w:r>
            <w:r w:rsidRPr="00725CEF">
              <w:rPr>
                <w:rFonts w:ascii="Times New Roman" w:eastAsia="仿宋_GB2312" w:hAnsi="Times New Roman"/>
                <w:sz w:val="24"/>
                <w:szCs w:val="24"/>
              </w:rPr>
              <w:t>学校</w:t>
            </w:r>
            <w:r w:rsidRPr="00725CEF">
              <w:rPr>
                <w:rFonts w:ascii="Times New Roman" w:eastAsia="仿宋_GB2312" w:hAnsi="Times New Roman" w:hint="eastAsia"/>
                <w:sz w:val="24"/>
                <w:szCs w:val="24"/>
              </w:rPr>
              <w:t>有关规定执行</w:t>
            </w:r>
            <w:r w:rsidRPr="00725CE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</w:tc>
      </w:tr>
      <w:tr w:rsidR="00115E5D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25CEF">
              <w:rPr>
                <w:rFonts w:ascii="Times New Roman" w:eastAsia="仿宋_GB2312" w:hAnsi="Times New Roman"/>
                <w:kern w:val="0"/>
                <w:sz w:val="24"/>
                <w:szCs w:val="24"/>
                <w:lang w:bidi="ar"/>
              </w:rPr>
              <w:t>毕业和授予学位标准</w:t>
            </w:r>
          </w:p>
        </w:tc>
        <w:tc>
          <w:tcPr>
            <w:tcW w:w="75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E5D" w:rsidRPr="00725CEF" w:rsidRDefault="00115E5D" w:rsidP="00115E5D">
            <w:pPr>
              <w:ind w:firstLineChars="200" w:firstLine="48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25CEF">
              <w:rPr>
                <w:rFonts w:ascii="Times New Roman" w:eastAsia="仿宋_GB2312" w:hAnsi="Times New Roman" w:hint="eastAsia"/>
                <w:sz w:val="24"/>
                <w:szCs w:val="24"/>
              </w:rPr>
              <w:t>毕业标准按学校有关规定执行；授予学位标准按《陕西师范大学生命科学学院学术学位研究生在读期间科研成果规定》执行</w:t>
            </w:r>
            <w:r w:rsidRPr="00725CE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  <w:p w:rsidR="00115E5D" w:rsidRPr="00725CEF" w:rsidRDefault="00115E5D" w:rsidP="00115E5D">
            <w:pPr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25CEF">
              <w:rPr>
                <w:rFonts w:ascii="Times New Roman" w:eastAsia="仿宋_GB2312" w:hAnsi="Times New Roman" w:hint="eastAsia"/>
                <w:sz w:val="24"/>
                <w:szCs w:val="24"/>
              </w:rPr>
              <w:t>备注</w:t>
            </w:r>
            <w:r w:rsidRPr="00725CEF"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  <w:r w:rsidRPr="00725CEF">
              <w:rPr>
                <w:rFonts w:ascii="Times New Roman" w:eastAsia="仿宋_GB2312" w:hAnsi="Times New Roman" w:hint="eastAsia"/>
                <w:sz w:val="24"/>
                <w:szCs w:val="24"/>
              </w:rPr>
              <w:t>少数民族</w:t>
            </w:r>
            <w:r w:rsidRPr="00725CEF">
              <w:rPr>
                <w:rFonts w:ascii="Times New Roman" w:eastAsia="仿宋_GB2312" w:hAnsi="Times New Roman"/>
                <w:sz w:val="24"/>
                <w:szCs w:val="24"/>
              </w:rPr>
              <w:t>骨干</w:t>
            </w:r>
            <w:r w:rsidRPr="00725CEF">
              <w:rPr>
                <w:rFonts w:ascii="Times New Roman" w:eastAsia="仿宋_GB2312" w:hAnsi="Times New Roman" w:hint="eastAsia"/>
                <w:sz w:val="24"/>
                <w:szCs w:val="24"/>
              </w:rPr>
              <w:t>毕业和授予学位标准按学校有关规定执行。</w:t>
            </w:r>
          </w:p>
        </w:tc>
      </w:tr>
      <w:tr w:rsidR="00E81906" w:rsidRPr="00701E66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szCs w:val="24"/>
              </w:rPr>
              <w:t>本学科主要文献、目录及刊物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著作或期刊名称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作者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考核方式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备注（选读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必读）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药学学报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中草药杂志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25F5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中成药杂志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25F5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药物分析杂志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色谱杂志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25F5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波谱学杂志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</w:pPr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Journal of Natural products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</w:pPr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Metabolic Engineering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</w:pPr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Plant Biotechnology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25F5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中国中药杂志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25F5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生命科学杂志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25F5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药物生物技术杂志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</w:pPr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Nature Reviews Drug Discovery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</w:pPr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 xml:space="preserve">annual review of pharmacology and </w:t>
            </w:r>
            <w:proofErr w:type="spellStart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toxiclogy</w:t>
            </w:r>
            <w:proofErr w:type="spellEnd"/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293101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906" w:rsidRPr="00325F5D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25F5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天然产物化学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906" w:rsidRPr="00701E66" w:rsidRDefault="00E81906" w:rsidP="00743E5E">
            <w:pPr>
              <w:jc w:val="center"/>
            </w:pPr>
            <w:proofErr w:type="gramStart"/>
            <w:r w:rsidRPr="00701E66">
              <w:rPr>
                <w:rFonts w:hint="eastAsia"/>
              </w:rPr>
              <w:t>徐任生</w:t>
            </w:r>
            <w:proofErr w:type="gramEnd"/>
            <w:r w:rsidRPr="00701E66">
              <w:rPr>
                <w:rFonts w:hint="eastAsia"/>
              </w:rPr>
              <w:t>等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293101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906" w:rsidRPr="00325F5D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25F5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有机化合物结构鉴定与有机波谱学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906" w:rsidRPr="00701E66" w:rsidRDefault="00E81906" w:rsidP="00743E5E">
            <w:pPr>
              <w:jc w:val="center"/>
            </w:pPr>
            <w:r w:rsidRPr="00701E66">
              <w:rPr>
                <w:rFonts w:hint="eastAsia"/>
              </w:rPr>
              <w:t>宁永成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293101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906" w:rsidRPr="00325F5D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25F5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核磁共振谱学在有机化学中的应用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906" w:rsidRPr="00701E66" w:rsidRDefault="00E81906" w:rsidP="00743E5E">
            <w:pPr>
              <w:jc w:val="center"/>
            </w:pPr>
            <w:r w:rsidRPr="00701E66">
              <w:rPr>
                <w:rFonts w:hint="eastAsia"/>
              </w:rPr>
              <w:t>王乃兴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293101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906" w:rsidRPr="00325F5D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25F5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有机结构鉴定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906" w:rsidRPr="00701E66" w:rsidRDefault="00E81906" w:rsidP="00743E5E">
            <w:pPr>
              <w:jc w:val="center"/>
            </w:pPr>
            <w:r w:rsidRPr="00701E66">
              <w:rPr>
                <w:rFonts w:hint="eastAsia"/>
              </w:rPr>
              <w:t>辛普森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293101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906" w:rsidRPr="00325F5D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25F5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二维核磁共振简明原理及图谱解析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906" w:rsidRPr="00701E66" w:rsidRDefault="00E81906" w:rsidP="00743E5E">
            <w:pPr>
              <w:jc w:val="center"/>
            </w:pPr>
            <w:r w:rsidRPr="00701E66">
              <w:rPr>
                <w:rFonts w:hint="eastAsia"/>
              </w:rPr>
              <w:t>杨立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25F5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中药分析学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701E66" w:rsidRDefault="00E81906" w:rsidP="00743E5E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701E66">
              <w:rPr>
                <w:rFonts w:ascii="Times New Roman" w:eastAsia="仿宋_GB2312" w:hAnsi="仿宋_GB2312" w:hint="eastAsia"/>
                <w:color w:val="000000"/>
                <w:sz w:val="24"/>
                <w:szCs w:val="24"/>
              </w:rPr>
              <w:t>蔡宝昌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25F5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中药化学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701E66">
              <w:rPr>
                <w:rFonts w:hint="eastAsia"/>
              </w:rPr>
              <w:t>匡海学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中药资源学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段金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廒</w:t>
            </w:r>
            <w:proofErr w:type="gramEnd"/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中药资源学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王文全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Plant Secondary Metabolism Engineering: Methods and Applications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</w:pPr>
            <w:proofErr w:type="spellStart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Naíla</w:t>
            </w:r>
            <w:proofErr w:type="spellEnd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 xml:space="preserve"> Cannes do </w:t>
            </w:r>
            <w:proofErr w:type="spellStart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Nascimento</w:t>
            </w:r>
            <w:proofErr w:type="spellEnd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 xml:space="preserve"> (auth.), Arthur </w:t>
            </w:r>
            <w:proofErr w:type="spellStart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GermanoFett-Neto</w:t>
            </w:r>
            <w:proofErr w:type="spellEnd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 xml:space="preserve"> (eds.)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</w:pPr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Applications of Plant Metabolic Engineering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</w:pPr>
            <w:proofErr w:type="spellStart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Verpoorte</w:t>
            </w:r>
            <w:proofErr w:type="spellEnd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, R.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</w:pPr>
            <w:bookmarkStart w:id="3" w:name="OLE_LINK5"/>
            <w:bookmarkStart w:id="4" w:name="OLE_LINK6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Plant secondary metabolism</w:t>
            </w:r>
            <w:bookmarkEnd w:id="3"/>
            <w:bookmarkEnd w:id="4"/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</w:pPr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 xml:space="preserve">David S. </w:t>
            </w:r>
            <w:proofErr w:type="spellStart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Seigler</w:t>
            </w:r>
            <w:proofErr w:type="spellEnd"/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</w:pPr>
            <w:bookmarkStart w:id="5" w:name="OLE_LINK7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Secondary-metabolite biosynthesis and metabolism</w:t>
            </w:r>
            <w:bookmarkEnd w:id="5"/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</w:pPr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 xml:space="preserve">Richard J. </w:t>
            </w:r>
            <w:proofErr w:type="spellStart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Petroski</w:t>
            </w:r>
            <w:proofErr w:type="spellEnd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, Susan P. McCormick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25F5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植物次生代谢与调控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701E66" w:rsidRDefault="00E81906" w:rsidP="00743E5E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701E66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董娟娥，张康健，</w:t>
            </w:r>
            <w:proofErr w:type="gramStart"/>
            <w:r w:rsidRPr="00701E66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梁宗锁</w:t>
            </w:r>
            <w:proofErr w:type="gramEnd"/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25F5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生化药理学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701E66" w:rsidRDefault="00E81906" w:rsidP="00743E5E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701E66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潘家祜</w:t>
            </w:r>
            <w:r w:rsidRPr="00701E66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 xml:space="preserve">. </w:t>
            </w:r>
            <w:r w:rsidRPr="00701E66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生化药理学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25F5D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分子药理学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701E66" w:rsidRDefault="00F41AFF" w:rsidP="00743E5E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hyperlink r:id="rId7" w:tgtFrame="http://product.dangdang.com/_blank" w:history="1">
              <w:r w:rsidR="00E81906" w:rsidRPr="00701E66">
                <w:rPr>
                  <w:rFonts w:ascii="Times New Roman" w:eastAsia="仿宋_GB2312" w:hAnsi="Times New Roman" w:hint="eastAsia"/>
                  <w:color w:val="000000"/>
                  <w:sz w:val="24"/>
                  <w:szCs w:val="24"/>
                </w:rPr>
                <w:t>段为钢</w:t>
              </w:r>
            </w:hyperlink>
            <w:r w:rsidR="00E81906" w:rsidRPr="00701E66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，</w:t>
            </w:r>
            <w:hyperlink r:id="rId8" w:tgtFrame="http://product.dangdang.com/_blank" w:history="1">
              <w:r w:rsidR="00E81906" w:rsidRPr="00701E66">
                <w:rPr>
                  <w:rFonts w:ascii="Times New Roman" w:eastAsia="仿宋_GB2312" w:hAnsi="Times New Roman" w:hint="eastAsia"/>
                  <w:color w:val="000000"/>
                  <w:sz w:val="24"/>
                  <w:szCs w:val="24"/>
                </w:rPr>
                <w:t>云宇</w:t>
              </w:r>
            </w:hyperlink>
            <w:r w:rsidR="00E81906" w:rsidRPr="00701E66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</w:pPr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 xml:space="preserve">Drug discovery and </w:t>
            </w:r>
            <w:proofErr w:type="spellStart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evalution</w:t>
            </w:r>
            <w:proofErr w:type="spellEnd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-pharmacological assays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E81906" w:rsidP="00743E5E">
            <w:pPr>
              <w:jc w:val="center"/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</w:pPr>
            <w:proofErr w:type="spellStart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H.Gergard</w:t>
            </w:r>
            <w:proofErr w:type="spellEnd"/>
            <w:r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 xml:space="preserve"> Vogel, Wolfgang H. Vogel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 w:rsidTr="003A4C5D">
        <w:trPr>
          <w:trHeight w:val="62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743E5E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F41AFF" w:rsidP="00743E5E">
            <w:pPr>
              <w:jc w:val="center"/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</w:pPr>
            <w:hyperlink r:id="rId9" w:tgtFrame="http://xueshu.baidu.com/_blank" w:history="1">
              <w:r w:rsidR="00E81906" w:rsidRPr="00325F5D">
                <w:rPr>
                  <w:rFonts w:ascii="Times New Roman" w:eastAsia="仿宋_GB2312" w:hAnsi="Times New Roman" w:cs="仿宋_GB2312"/>
                  <w:color w:val="000000"/>
                  <w:sz w:val="24"/>
                  <w:szCs w:val="24"/>
                </w:rPr>
                <w:t>A Pharmacology Primer: Theory, Applications, and Methods</w:t>
              </w:r>
            </w:hyperlink>
            <w:r w:rsidR="00E81906" w:rsidRPr="00325F5D"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  <w:t>m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Pr="00325F5D" w:rsidRDefault="00F41AFF" w:rsidP="00743E5E">
            <w:pPr>
              <w:jc w:val="center"/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</w:pPr>
            <w:hyperlink r:id="rId10" w:tgtFrame="http://xueshu.baidu.com/_blank" w:history="1">
              <w:r w:rsidR="00E81906" w:rsidRPr="00325F5D">
                <w:rPr>
                  <w:rFonts w:ascii="Times New Roman" w:eastAsia="仿宋_GB2312" w:hAnsi="Times New Roman" w:cs="仿宋_GB2312"/>
                  <w:color w:val="000000"/>
                  <w:sz w:val="24"/>
                  <w:szCs w:val="24"/>
                </w:rPr>
                <w:t>TP Kenakin</w:t>
              </w:r>
            </w:hyperlink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 w:rsidP="00743E5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选读</w:t>
            </w:r>
          </w:p>
        </w:tc>
      </w:tr>
      <w:tr w:rsidR="00E81906" w:rsidRPr="00701E66">
        <w:trPr>
          <w:trHeight w:val="624"/>
        </w:trPr>
        <w:tc>
          <w:tcPr>
            <w:tcW w:w="91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906" w:rsidRDefault="00E81906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文献阅读考核方式：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br/>
              <w:t>1.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课程考核：将此文献作为课程考核的考试范围；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br/>
              <w:t>2.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结合开题报告或学科综合考试进行；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br/>
              <w:t>3.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撰写读书报告；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  <w:br/>
              <w:t>4.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其他，请注明。</w:t>
            </w:r>
          </w:p>
        </w:tc>
      </w:tr>
    </w:tbl>
    <w:p w:rsidR="00E81906" w:rsidRDefault="00E81906" w:rsidP="00774B06">
      <w:pPr>
        <w:widowControl/>
        <w:spacing w:line="360" w:lineRule="auto"/>
        <w:rPr>
          <w:rFonts w:ascii="仿宋_GB2312" w:eastAsia="仿宋_GB2312" w:hAnsi="仿宋_GB2312" w:cs="仿宋_GB2312"/>
          <w:kern w:val="0"/>
          <w:sz w:val="24"/>
          <w:szCs w:val="24"/>
        </w:rPr>
      </w:pPr>
    </w:p>
    <w:sectPr w:rsidR="00E81906" w:rsidSect="00267CA5">
      <w:footerReference w:type="default" r:id="rId11"/>
      <w:pgSz w:w="11906" w:h="16838"/>
      <w:pgMar w:top="1417" w:right="141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AFF" w:rsidRDefault="00F41AFF">
      <w:r>
        <w:separator/>
      </w:r>
    </w:p>
  </w:endnote>
  <w:endnote w:type="continuationSeparator" w:id="0">
    <w:p w:rsidR="00F41AFF" w:rsidRDefault="00F41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906" w:rsidRDefault="00F41AFF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8" o:spid="_x0000_s2049" type="#_x0000_t202" style="position:absolute;margin-left:0;margin-top:0;width:2in;height:2in;z-index:1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gYdD+GACAAAKBQAADgAAAAAAAAAAAAAAAAAuAgAAZHJzL2Uyb0RvYy54bWxQ&#10;SwECLQAUAAYACAAAACEAcarRudcAAAAFAQAADwAAAAAAAAAAAAAAAAC6BAAAZHJzL2Rvd25yZXYu&#10;eG1sUEsFBgAAAAAEAAQA8wAAAL4FAAAAAA==&#10;" filled="f" stroked="f" strokeweight=".5pt">
          <v:textbox style="mso-fit-shape-to-text:t" inset="0,0,0,0">
            <w:txbxContent>
              <w:p w:rsidR="00E81906" w:rsidRDefault="00E81906">
                <w:pPr>
                  <w:snapToGrid w:val="0"/>
                  <w:rPr>
                    <w:sz w:val="18"/>
                  </w:rPr>
                </w:pPr>
                <w:r>
                  <w:rPr>
                    <w:rFonts w:ascii="Times New Roman" w:hAnsi="Times New Roman"/>
                  </w:rPr>
                  <w:fldChar w:fldCharType="begin"/>
                </w:r>
                <w:r>
                  <w:rPr>
                    <w:rFonts w:ascii="Times New Roman" w:hAnsi="Times New Roman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</w:rPr>
                  <w:fldChar w:fldCharType="separate"/>
                </w:r>
                <w:r w:rsidR="00324F67" w:rsidRPr="00324F67">
                  <w:rPr>
                    <w:rFonts w:ascii="Times New Roman" w:hAnsi="Times New Roman"/>
                    <w:noProof/>
                    <w:sz w:val="18"/>
                  </w:rPr>
                  <w:t>4</w:t>
                </w:r>
                <w:r>
                  <w:rPr>
                    <w:rFonts w:ascii="Times New Roman" w:hAnsi="Times New Roman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AFF" w:rsidRDefault="00F41AFF">
      <w:r>
        <w:separator/>
      </w:r>
    </w:p>
  </w:footnote>
  <w:footnote w:type="continuationSeparator" w:id="0">
    <w:p w:rsidR="00F41AFF" w:rsidRDefault="00F41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EE0286"/>
    <w:multiLevelType w:val="hybridMultilevel"/>
    <w:tmpl w:val="08E4821E"/>
    <w:lvl w:ilvl="0" w:tplc="DC88C8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59094A31"/>
    <w:multiLevelType w:val="singleLevel"/>
    <w:tmpl w:val="59094A31"/>
    <w:lvl w:ilvl="0">
      <w:start w:val="2"/>
      <w:numFmt w:val="decimal"/>
      <w:suff w:val="nothing"/>
      <w:lvlText w:val="%1．"/>
      <w:lvlJc w:val="left"/>
      <w:rPr>
        <w:rFonts w:cs="Times New Roman"/>
      </w:rPr>
    </w:lvl>
  </w:abstractNum>
  <w:abstractNum w:abstractNumId="2" w15:restartNumberingAfterBreak="0">
    <w:nsid w:val="59094A54"/>
    <w:multiLevelType w:val="singleLevel"/>
    <w:tmpl w:val="59094A54"/>
    <w:lvl w:ilvl="0">
      <w:start w:val="5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522"/>
    <w:rsid w:val="00015837"/>
    <w:rsid w:val="0001596E"/>
    <w:rsid w:val="00032492"/>
    <w:rsid w:val="00034256"/>
    <w:rsid w:val="0004534E"/>
    <w:rsid w:val="0006247F"/>
    <w:rsid w:val="0006640D"/>
    <w:rsid w:val="00066BA5"/>
    <w:rsid w:val="000748F9"/>
    <w:rsid w:val="000C1640"/>
    <w:rsid w:val="000C1CFD"/>
    <w:rsid w:val="000C4D86"/>
    <w:rsid w:val="00115E5D"/>
    <w:rsid w:val="00117813"/>
    <w:rsid w:val="00136E2D"/>
    <w:rsid w:val="00140F55"/>
    <w:rsid w:val="00143921"/>
    <w:rsid w:val="00146BA8"/>
    <w:rsid w:val="00150BE2"/>
    <w:rsid w:val="00151D73"/>
    <w:rsid w:val="00155A72"/>
    <w:rsid w:val="001560D7"/>
    <w:rsid w:val="0017010B"/>
    <w:rsid w:val="00170C83"/>
    <w:rsid w:val="001719D0"/>
    <w:rsid w:val="00177A9B"/>
    <w:rsid w:val="001842A1"/>
    <w:rsid w:val="00185EA2"/>
    <w:rsid w:val="00194C30"/>
    <w:rsid w:val="00197C4E"/>
    <w:rsid w:val="001B5912"/>
    <w:rsid w:val="001C3593"/>
    <w:rsid w:val="001D30FA"/>
    <w:rsid w:val="001D6769"/>
    <w:rsid w:val="001E52FC"/>
    <w:rsid w:val="001E6F1B"/>
    <w:rsid w:val="002036E5"/>
    <w:rsid w:val="002041D6"/>
    <w:rsid w:val="002151B3"/>
    <w:rsid w:val="002270DF"/>
    <w:rsid w:val="002434BB"/>
    <w:rsid w:val="002468E3"/>
    <w:rsid w:val="00262406"/>
    <w:rsid w:val="00266593"/>
    <w:rsid w:val="00267B5B"/>
    <w:rsid w:val="00267CA5"/>
    <w:rsid w:val="00271669"/>
    <w:rsid w:val="00284C8B"/>
    <w:rsid w:val="00293101"/>
    <w:rsid w:val="002A21C4"/>
    <w:rsid w:val="002D3630"/>
    <w:rsid w:val="002E7CFF"/>
    <w:rsid w:val="00316A00"/>
    <w:rsid w:val="00324F67"/>
    <w:rsid w:val="00325F3E"/>
    <w:rsid w:val="00325F5D"/>
    <w:rsid w:val="00330235"/>
    <w:rsid w:val="00334870"/>
    <w:rsid w:val="003428D6"/>
    <w:rsid w:val="00357933"/>
    <w:rsid w:val="00375A5A"/>
    <w:rsid w:val="00380C6E"/>
    <w:rsid w:val="00385A86"/>
    <w:rsid w:val="0038652B"/>
    <w:rsid w:val="003A1DEF"/>
    <w:rsid w:val="003A4C5D"/>
    <w:rsid w:val="003A5269"/>
    <w:rsid w:val="003A5865"/>
    <w:rsid w:val="003B7875"/>
    <w:rsid w:val="003D2BB1"/>
    <w:rsid w:val="003F2533"/>
    <w:rsid w:val="00431866"/>
    <w:rsid w:val="004454C5"/>
    <w:rsid w:val="00451842"/>
    <w:rsid w:val="00457963"/>
    <w:rsid w:val="00461CFA"/>
    <w:rsid w:val="004658C6"/>
    <w:rsid w:val="00476ED7"/>
    <w:rsid w:val="004821E5"/>
    <w:rsid w:val="0048402E"/>
    <w:rsid w:val="004867BF"/>
    <w:rsid w:val="00487B7B"/>
    <w:rsid w:val="004939D9"/>
    <w:rsid w:val="00493EC2"/>
    <w:rsid w:val="00494A6F"/>
    <w:rsid w:val="004A11E0"/>
    <w:rsid w:val="004A12D5"/>
    <w:rsid w:val="004A5B10"/>
    <w:rsid w:val="004A66F3"/>
    <w:rsid w:val="004A7680"/>
    <w:rsid w:val="004D247F"/>
    <w:rsid w:val="004D3342"/>
    <w:rsid w:val="004E53C6"/>
    <w:rsid w:val="004E6E09"/>
    <w:rsid w:val="004F0522"/>
    <w:rsid w:val="004F6AC0"/>
    <w:rsid w:val="00501117"/>
    <w:rsid w:val="00510129"/>
    <w:rsid w:val="00514BAC"/>
    <w:rsid w:val="005175B1"/>
    <w:rsid w:val="00527A3F"/>
    <w:rsid w:val="00541E37"/>
    <w:rsid w:val="00542347"/>
    <w:rsid w:val="0055134A"/>
    <w:rsid w:val="00551A9C"/>
    <w:rsid w:val="00556642"/>
    <w:rsid w:val="00596E50"/>
    <w:rsid w:val="005A2EE7"/>
    <w:rsid w:val="005A5B1E"/>
    <w:rsid w:val="005B2841"/>
    <w:rsid w:val="005B2D13"/>
    <w:rsid w:val="005B2DBE"/>
    <w:rsid w:val="005C4CFA"/>
    <w:rsid w:val="005C51F8"/>
    <w:rsid w:val="005C6397"/>
    <w:rsid w:val="005D7BB7"/>
    <w:rsid w:val="005E3840"/>
    <w:rsid w:val="005E49FD"/>
    <w:rsid w:val="005E5E88"/>
    <w:rsid w:val="005E6342"/>
    <w:rsid w:val="006033C6"/>
    <w:rsid w:val="00607196"/>
    <w:rsid w:val="00607682"/>
    <w:rsid w:val="00614A33"/>
    <w:rsid w:val="00624EEB"/>
    <w:rsid w:val="00651FB4"/>
    <w:rsid w:val="006533B8"/>
    <w:rsid w:val="00676040"/>
    <w:rsid w:val="00677CF4"/>
    <w:rsid w:val="00680467"/>
    <w:rsid w:val="00681CAA"/>
    <w:rsid w:val="00686619"/>
    <w:rsid w:val="006B42E5"/>
    <w:rsid w:val="006D7796"/>
    <w:rsid w:val="006D7E12"/>
    <w:rsid w:val="006F24C4"/>
    <w:rsid w:val="006F2546"/>
    <w:rsid w:val="006F565B"/>
    <w:rsid w:val="00701E66"/>
    <w:rsid w:val="00713C7A"/>
    <w:rsid w:val="00715CFC"/>
    <w:rsid w:val="00722F1A"/>
    <w:rsid w:val="00735D7F"/>
    <w:rsid w:val="00743E5E"/>
    <w:rsid w:val="0075158E"/>
    <w:rsid w:val="007540AC"/>
    <w:rsid w:val="0076356F"/>
    <w:rsid w:val="00767721"/>
    <w:rsid w:val="00774ADB"/>
    <w:rsid w:val="00774B06"/>
    <w:rsid w:val="00775874"/>
    <w:rsid w:val="00781AEF"/>
    <w:rsid w:val="00795315"/>
    <w:rsid w:val="00795896"/>
    <w:rsid w:val="007A09C5"/>
    <w:rsid w:val="007B55B2"/>
    <w:rsid w:val="007C1799"/>
    <w:rsid w:val="007C4C9D"/>
    <w:rsid w:val="007D2E0C"/>
    <w:rsid w:val="007D45A8"/>
    <w:rsid w:val="007E3674"/>
    <w:rsid w:val="007E4AE6"/>
    <w:rsid w:val="007F01E3"/>
    <w:rsid w:val="007F7094"/>
    <w:rsid w:val="00805947"/>
    <w:rsid w:val="008222DC"/>
    <w:rsid w:val="00834E92"/>
    <w:rsid w:val="00840FF1"/>
    <w:rsid w:val="00851804"/>
    <w:rsid w:val="008675B6"/>
    <w:rsid w:val="00876E99"/>
    <w:rsid w:val="008951E2"/>
    <w:rsid w:val="008A0C0D"/>
    <w:rsid w:val="008A697D"/>
    <w:rsid w:val="008D54CB"/>
    <w:rsid w:val="0090212C"/>
    <w:rsid w:val="009047C4"/>
    <w:rsid w:val="0091269E"/>
    <w:rsid w:val="00912FB6"/>
    <w:rsid w:val="009252ED"/>
    <w:rsid w:val="00926FDC"/>
    <w:rsid w:val="009379E9"/>
    <w:rsid w:val="00942B89"/>
    <w:rsid w:val="00945195"/>
    <w:rsid w:val="0094778E"/>
    <w:rsid w:val="00960385"/>
    <w:rsid w:val="00960D09"/>
    <w:rsid w:val="0097284B"/>
    <w:rsid w:val="00976253"/>
    <w:rsid w:val="00976C9F"/>
    <w:rsid w:val="009850E4"/>
    <w:rsid w:val="00985137"/>
    <w:rsid w:val="00991931"/>
    <w:rsid w:val="00992AA1"/>
    <w:rsid w:val="009A496C"/>
    <w:rsid w:val="009D36A2"/>
    <w:rsid w:val="009D393D"/>
    <w:rsid w:val="009F1AF3"/>
    <w:rsid w:val="009F215B"/>
    <w:rsid w:val="009F598B"/>
    <w:rsid w:val="00A01C4C"/>
    <w:rsid w:val="00A11374"/>
    <w:rsid w:val="00A115AC"/>
    <w:rsid w:val="00A173EB"/>
    <w:rsid w:val="00A20D84"/>
    <w:rsid w:val="00A257F4"/>
    <w:rsid w:val="00A31805"/>
    <w:rsid w:val="00A458BD"/>
    <w:rsid w:val="00A4673F"/>
    <w:rsid w:val="00A5189B"/>
    <w:rsid w:val="00A53242"/>
    <w:rsid w:val="00A6409B"/>
    <w:rsid w:val="00A76C25"/>
    <w:rsid w:val="00A80978"/>
    <w:rsid w:val="00A918F2"/>
    <w:rsid w:val="00A93E76"/>
    <w:rsid w:val="00AA6336"/>
    <w:rsid w:val="00AB027D"/>
    <w:rsid w:val="00AC3170"/>
    <w:rsid w:val="00AD6EBA"/>
    <w:rsid w:val="00AD7D2E"/>
    <w:rsid w:val="00AE27F3"/>
    <w:rsid w:val="00AF67D8"/>
    <w:rsid w:val="00B1109A"/>
    <w:rsid w:val="00B22B93"/>
    <w:rsid w:val="00B26603"/>
    <w:rsid w:val="00B30381"/>
    <w:rsid w:val="00B30B21"/>
    <w:rsid w:val="00B35510"/>
    <w:rsid w:val="00B51009"/>
    <w:rsid w:val="00B65D0A"/>
    <w:rsid w:val="00B75CDC"/>
    <w:rsid w:val="00B8307B"/>
    <w:rsid w:val="00BA6280"/>
    <w:rsid w:val="00BA7BB4"/>
    <w:rsid w:val="00BB3E5B"/>
    <w:rsid w:val="00BB62DF"/>
    <w:rsid w:val="00BB647E"/>
    <w:rsid w:val="00BC1C05"/>
    <w:rsid w:val="00BC563E"/>
    <w:rsid w:val="00BD01E8"/>
    <w:rsid w:val="00BD2938"/>
    <w:rsid w:val="00BE20EE"/>
    <w:rsid w:val="00BF08D4"/>
    <w:rsid w:val="00BF1F5F"/>
    <w:rsid w:val="00C05CC4"/>
    <w:rsid w:val="00C15482"/>
    <w:rsid w:val="00C1740C"/>
    <w:rsid w:val="00C2648F"/>
    <w:rsid w:val="00C37939"/>
    <w:rsid w:val="00C46253"/>
    <w:rsid w:val="00C5610F"/>
    <w:rsid w:val="00C56976"/>
    <w:rsid w:val="00C64505"/>
    <w:rsid w:val="00C743ED"/>
    <w:rsid w:val="00C87039"/>
    <w:rsid w:val="00C945AB"/>
    <w:rsid w:val="00CA4F6F"/>
    <w:rsid w:val="00CA5777"/>
    <w:rsid w:val="00CB677A"/>
    <w:rsid w:val="00CB7EC8"/>
    <w:rsid w:val="00CD5916"/>
    <w:rsid w:val="00D01CA9"/>
    <w:rsid w:val="00D043AB"/>
    <w:rsid w:val="00D04688"/>
    <w:rsid w:val="00D11815"/>
    <w:rsid w:val="00D14A8C"/>
    <w:rsid w:val="00D30310"/>
    <w:rsid w:val="00D31BDD"/>
    <w:rsid w:val="00D44ACC"/>
    <w:rsid w:val="00D473D1"/>
    <w:rsid w:val="00D51405"/>
    <w:rsid w:val="00D5637C"/>
    <w:rsid w:val="00D575D9"/>
    <w:rsid w:val="00D579AC"/>
    <w:rsid w:val="00D607B6"/>
    <w:rsid w:val="00D622B8"/>
    <w:rsid w:val="00D708F2"/>
    <w:rsid w:val="00D75417"/>
    <w:rsid w:val="00D83F26"/>
    <w:rsid w:val="00D9592C"/>
    <w:rsid w:val="00D97E49"/>
    <w:rsid w:val="00DA4EC9"/>
    <w:rsid w:val="00DA5D50"/>
    <w:rsid w:val="00DC1621"/>
    <w:rsid w:val="00DC44BC"/>
    <w:rsid w:val="00DE3A59"/>
    <w:rsid w:val="00DE3D2E"/>
    <w:rsid w:val="00DE79BF"/>
    <w:rsid w:val="00E01A4A"/>
    <w:rsid w:val="00E05F67"/>
    <w:rsid w:val="00E2409C"/>
    <w:rsid w:val="00E32813"/>
    <w:rsid w:val="00E34177"/>
    <w:rsid w:val="00E40C4E"/>
    <w:rsid w:val="00E57910"/>
    <w:rsid w:val="00E64C2A"/>
    <w:rsid w:val="00E75194"/>
    <w:rsid w:val="00E81906"/>
    <w:rsid w:val="00E83779"/>
    <w:rsid w:val="00E85953"/>
    <w:rsid w:val="00E954AF"/>
    <w:rsid w:val="00EA7199"/>
    <w:rsid w:val="00EB077F"/>
    <w:rsid w:val="00EB45DA"/>
    <w:rsid w:val="00EC1044"/>
    <w:rsid w:val="00ED210C"/>
    <w:rsid w:val="00ED3BB2"/>
    <w:rsid w:val="00ED3D3D"/>
    <w:rsid w:val="00EE210F"/>
    <w:rsid w:val="00EF2146"/>
    <w:rsid w:val="00EF4CF9"/>
    <w:rsid w:val="00F016D1"/>
    <w:rsid w:val="00F04951"/>
    <w:rsid w:val="00F10D30"/>
    <w:rsid w:val="00F112FA"/>
    <w:rsid w:val="00F2565F"/>
    <w:rsid w:val="00F272E8"/>
    <w:rsid w:val="00F359B6"/>
    <w:rsid w:val="00F37179"/>
    <w:rsid w:val="00F41AFF"/>
    <w:rsid w:val="00F464FC"/>
    <w:rsid w:val="00F55A9C"/>
    <w:rsid w:val="00F64C8A"/>
    <w:rsid w:val="00F747A1"/>
    <w:rsid w:val="00F74FB0"/>
    <w:rsid w:val="00F82D87"/>
    <w:rsid w:val="00FA01FF"/>
    <w:rsid w:val="00FB2993"/>
    <w:rsid w:val="00FC35CB"/>
    <w:rsid w:val="00FC5EEC"/>
    <w:rsid w:val="00FD1991"/>
    <w:rsid w:val="00FD6628"/>
    <w:rsid w:val="00FD66ED"/>
    <w:rsid w:val="00FE4DD0"/>
    <w:rsid w:val="00FF428F"/>
    <w:rsid w:val="00FF5C10"/>
    <w:rsid w:val="02A74515"/>
    <w:rsid w:val="0EF8658A"/>
    <w:rsid w:val="13E255CA"/>
    <w:rsid w:val="148701B3"/>
    <w:rsid w:val="16A41332"/>
    <w:rsid w:val="1E5E7BD5"/>
    <w:rsid w:val="21277F06"/>
    <w:rsid w:val="22B14805"/>
    <w:rsid w:val="23724D9F"/>
    <w:rsid w:val="26E21430"/>
    <w:rsid w:val="2E9A6430"/>
    <w:rsid w:val="319B1497"/>
    <w:rsid w:val="34CD5D3B"/>
    <w:rsid w:val="35AF1C47"/>
    <w:rsid w:val="3BA268AB"/>
    <w:rsid w:val="45BA3BC5"/>
    <w:rsid w:val="45E14D93"/>
    <w:rsid w:val="499F32FC"/>
    <w:rsid w:val="4E06623E"/>
    <w:rsid w:val="51951CB6"/>
    <w:rsid w:val="56E54438"/>
    <w:rsid w:val="5A8071A2"/>
    <w:rsid w:val="5CF16231"/>
    <w:rsid w:val="5F87558E"/>
    <w:rsid w:val="677516E6"/>
    <w:rsid w:val="6A8531B7"/>
    <w:rsid w:val="6BBD7FEA"/>
    <w:rsid w:val="6C8B6C65"/>
    <w:rsid w:val="6F5B480B"/>
    <w:rsid w:val="70657A0E"/>
    <w:rsid w:val="725737EC"/>
    <w:rsid w:val="72D02086"/>
    <w:rsid w:val="75CF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A874F7C2-7138-4E9C-9D1F-EF3382D7D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CA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rsid w:val="00267CA5"/>
    <w:pPr>
      <w:jc w:val="left"/>
    </w:pPr>
    <w:rPr>
      <w:szCs w:val="24"/>
    </w:rPr>
  </w:style>
  <w:style w:type="character" w:customStyle="1" w:styleId="Char">
    <w:name w:val="批注文字 Char"/>
    <w:link w:val="a3"/>
    <w:uiPriority w:val="99"/>
    <w:locked/>
    <w:rsid w:val="00267CA5"/>
    <w:rPr>
      <w:rFonts w:ascii="Calibri" w:eastAsia="宋体" w:hAnsi="Calibri" w:cs="Times New Roman"/>
      <w:kern w:val="2"/>
      <w:sz w:val="24"/>
      <w:szCs w:val="24"/>
    </w:rPr>
  </w:style>
  <w:style w:type="paragraph" w:styleId="a4">
    <w:name w:val="annotation subject"/>
    <w:basedOn w:val="a3"/>
    <w:next w:val="a3"/>
    <w:link w:val="Char0"/>
    <w:uiPriority w:val="99"/>
    <w:rsid w:val="00267CA5"/>
    <w:rPr>
      <w:b/>
      <w:bCs/>
    </w:rPr>
  </w:style>
  <w:style w:type="character" w:customStyle="1" w:styleId="Char0">
    <w:name w:val="批注主题 Char"/>
    <w:link w:val="a4"/>
    <w:uiPriority w:val="99"/>
    <w:locked/>
    <w:rsid w:val="00267CA5"/>
    <w:rPr>
      <w:rFonts w:ascii="Calibri" w:eastAsia="宋体" w:hAnsi="Calibri" w:cs="Times New Roman"/>
      <w:b/>
      <w:bCs/>
      <w:kern w:val="2"/>
      <w:sz w:val="24"/>
      <w:szCs w:val="24"/>
    </w:rPr>
  </w:style>
  <w:style w:type="paragraph" w:styleId="a5">
    <w:name w:val="Balloon Text"/>
    <w:basedOn w:val="a"/>
    <w:link w:val="Char1"/>
    <w:uiPriority w:val="99"/>
    <w:rsid w:val="00267CA5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267CA5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2"/>
    <w:uiPriority w:val="99"/>
    <w:rsid w:val="00267C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6"/>
    <w:uiPriority w:val="99"/>
    <w:locked/>
    <w:rsid w:val="00267CA5"/>
    <w:rPr>
      <w:rFonts w:cs="Times New Roman"/>
      <w:sz w:val="18"/>
      <w:szCs w:val="18"/>
    </w:rPr>
  </w:style>
  <w:style w:type="paragraph" w:styleId="a7">
    <w:name w:val="header"/>
    <w:basedOn w:val="a"/>
    <w:link w:val="Char3"/>
    <w:uiPriority w:val="99"/>
    <w:rsid w:val="00267C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link w:val="a7"/>
    <w:uiPriority w:val="99"/>
    <w:locked/>
    <w:rsid w:val="00267CA5"/>
    <w:rPr>
      <w:rFonts w:cs="Times New Roman"/>
      <w:sz w:val="18"/>
      <w:szCs w:val="18"/>
    </w:rPr>
  </w:style>
  <w:style w:type="paragraph" w:styleId="1">
    <w:name w:val="toc 1"/>
    <w:basedOn w:val="a"/>
    <w:next w:val="a"/>
    <w:uiPriority w:val="99"/>
    <w:rsid w:val="00267CA5"/>
  </w:style>
  <w:style w:type="paragraph" w:styleId="a8">
    <w:name w:val="Normal (Web)"/>
    <w:basedOn w:val="a"/>
    <w:uiPriority w:val="99"/>
    <w:rsid w:val="00267CA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Strong"/>
    <w:uiPriority w:val="99"/>
    <w:qFormat/>
    <w:rsid w:val="00267CA5"/>
    <w:rPr>
      <w:rFonts w:cs="Times New Roman"/>
      <w:b/>
      <w:bCs/>
    </w:rPr>
  </w:style>
  <w:style w:type="character" w:styleId="aa">
    <w:name w:val="Hyperlink"/>
    <w:uiPriority w:val="99"/>
    <w:rsid w:val="00267CA5"/>
    <w:rPr>
      <w:rFonts w:cs="Times New Roman"/>
      <w:color w:val="000000"/>
      <w:u w:val="none"/>
    </w:rPr>
  </w:style>
  <w:style w:type="character" w:styleId="ab">
    <w:name w:val="annotation reference"/>
    <w:uiPriority w:val="99"/>
    <w:rsid w:val="00267CA5"/>
    <w:rPr>
      <w:rFonts w:ascii="Calibri" w:eastAsia="宋体" w:hAnsi="Calibri" w:cs="Times New Roman"/>
      <w:sz w:val="21"/>
      <w:szCs w:val="21"/>
    </w:rPr>
  </w:style>
  <w:style w:type="paragraph" w:customStyle="1" w:styleId="Default">
    <w:name w:val="Default"/>
    <w:uiPriority w:val="99"/>
    <w:rsid w:val="00267CA5"/>
    <w:pPr>
      <w:widowControl w:val="0"/>
      <w:autoSpaceDE w:val="0"/>
      <w:autoSpaceDN w:val="0"/>
      <w:adjustRightInd w:val="0"/>
    </w:pPr>
    <w:rPr>
      <w:rFonts w:ascii="仿宋" w:eastAsia="仿宋" w:hAnsi="Calibri" w:cs="仿宋"/>
      <w:color w:val="000000"/>
      <w:sz w:val="24"/>
      <w:szCs w:val="24"/>
    </w:rPr>
  </w:style>
  <w:style w:type="paragraph" w:customStyle="1" w:styleId="10">
    <w:name w:val="列出段落1"/>
    <w:basedOn w:val="a"/>
    <w:uiPriority w:val="99"/>
    <w:rsid w:val="00267CA5"/>
    <w:pPr>
      <w:ind w:firstLineChars="200" w:firstLine="420"/>
    </w:pPr>
    <w:rPr>
      <w:szCs w:val="24"/>
    </w:rPr>
  </w:style>
  <w:style w:type="character" w:customStyle="1" w:styleId="fontstyle01">
    <w:name w:val="fontstyle01"/>
    <w:uiPriority w:val="99"/>
    <w:rsid w:val="00267CA5"/>
    <w:rPr>
      <w:rFonts w:ascii="仿宋_GB2312" w:eastAsia="仿宋_GB2312" w:hAnsi="Calibri" w:cs="Times New Roman"/>
      <w:color w:val="000000"/>
      <w:sz w:val="32"/>
      <w:szCs w:val="32"/>
    </w:rPr>
  </w:style>
  <w:style w:type="character" w:customStyle="1" w:styleId="fontstyle11">
    <w:name w:val="fontstyle11"/>
    <w:uiPriority w:val="99"/>
    <w:rsid w:val="00267CA5"/>
    <w:rPr>
      <w:rFonts w:ascii="宋体" w:eastAsia="宋体" w:hAnsi="宋体" w:cs="Times New Roman"/>
      <w:color w:val="000000"/>
      <w:sz w:val="28"/>
      <w:szCs w:val="28"/>
    </w:rPr>
  </w:style>
  <w:style w:type="character" w:customStyle="1" w:styleId="fontstyle21">
    <w:name w:val="fontstyle21"/>
    <w:uiPriority w:val="99"/>
    <w:rsid w:val="00267CA5"/>
    <w:rPr>
      <w:rFonts w:ascii="宋体" w:eastAsia="宋体" w:hAnsi="宋体" w:cs="Times New Roman"/>
      <w:color w:val="000000"/>
      <w:sz w:val="28"/>
      <w:szCs w:val="28"/>
    </w:rPr>
  </w:style>
  <w:style w:type="character" w:customStyle="1" w:styleId="fontstyle31">
    <w:name w:val="fontstyle31"/>
    <w:uiPriority w:val="99"/>
    <w:rsid w:val="00267CA5"/>
    <w:rPr>
      <w:rFonts w:ascii="TimesNewRomanPSMT" w:eastAsia="宋体" w:hAnsi="TimesNewRomanPSMT" w:cs="Times New Roman"/>
      <w:color w:val="000000"/>
      <w:sz w:val="28"/>
      <w:szCs w:val="28"/>
    </w:rPr>
  </w:style>
  <w:style w:type="paragraph" w:customStyle="1" w:styleId="11">
    <w:name w:val="列出段落11"/>
    <w:basedOn w:val="a"/>
    <w:uiPriority w:val="99"/>
    <w:rsid w:val="00267CA5"/>
    <w:pPr>
      <w:ind w:firstLineChars="200" w:firstLine="420"/>
    </w:pPr>
  </w:style>
  <w:style w:type="character" w:customStyle="1" w:styleId="font41">
    <w:name w:val="font41"/>
    <w:rsid w:val="00267CA5"/>
    <w:rPr>
      <w:rFonts w:ascii="宋体" w:eastAsia="宋体" w:hAnsi="宋体" w:cs="宋体"/>
      <w:color w:val="000000"/>
      <w:sz w:val="22"/>
      <w:szCs w:val="22"/>
      <w:u w:val="none"/>
    </w:rPr>
  </w:style>
  <w:style w:type="character" w:customStyle="1" w:styleId="font11">
    <w:name w:val="font11"/>
    <w:qFormat/>
    <w:rsid w:val="00267CA5"/>
    <w:rPr>
      <w:rFonts w:ascii="宋体" w:eastAsia="宋体" w:hAnsi="宋体" w:cs="宋体"/>
      <w:color w:val="000000"/>
      <w:sz w:val="22"/>
      <w:szCs w:val="22"/>
      <w:u w:val="single"/>
    </w:rPr>
  </w:style>
  <w:style w:type="character" w:customStyle="1" w:styleId="font01">
    <w:name w:val="font01"/>
    <w:uiPriority w:val="99"/>
    <w:rsid w:val="00267CA5"/>
    <w:rPr>
      <w:rFonts w:ascii="宋体" w:eastAsia="宋体" w:hAnsi="宋体" w:cs="宋体"/>
      <w:color w:val="FF0000"/>
      <w:sz w:val="22"/>
      <w:szCs w:val="22"/>
      <w:u w:val="none"/>
    </w:rPr>
  </w:style>
  <w:style w:type="paragraph" w:styleId="ac">
    <w:name w:val="List Paragraph"/>
    <w:basedOn w:val="a"/>
    <w:uiPriority w:val="99"/>
    <w:qFormat/>
    <w:rsid w:val="00CB7EC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%D4%C6%D3%EE&amp;medium=01&amp;category_path=01.00.00.00.00.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earch.dangdang.com/?key2=%B6%CE%CE%AA%B8%D6&amp;medium=01&amp;category_path=01.00.00.00.00.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xueshu.baidu.com/s?wd=author:(T.P.%20Kenakin)%20&amp;tn=SE_baiduxueshu_c1gjeupa&amp;ie=utf-8&amp;sc_f_para=sc_hilight=pers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searchgate.net/publication/288842308_A_Pharmacology_Primer_Theory_Applications_and_Metho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615</Words>
  <Characters>3510</Characters>
  <Application>Microsoft Office Word</Application>
  <DocSecurity>0</DocSecurity>
  <Lines>29</Lines>
  <Paragraphs>8</Paragraphs>
  <ScaleCrop>false</ScaleCrop>
  <Company>Microsoft</Company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陕西师范大学关于做好学术型研究生培养方案修订工作的通知</dc:title>
  <dc:subject/>
  <dc:creator>ly</dc:creator>
  <cp:keywords/>
  <dc:description/>
  <cp:lastModifiedBy>NTKO</cp:lastModifiedBy>
  <cp:revision>52</cp:revision>
  <dcterms:created xsi:type="dcterms:W3CDTF">2017-06-10T14:30:00Z</dcterms:created>
  <dcterms:modified xsi:type="dcterms:W3CDTF">2017-07-17T03:17:00Z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