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D9" w:rsidRDefault="000133D9" w:rsidP="000133D9">
      <w:pPr>
        <w:widowControl/>
        <w:shd w:val="clear" w:color="auto" w:fill="FFFFFF"/>
        <w:spacing w:line="360" w:lineRule="auto"/>
        <w:jc w:val="left"/>
        <w:rPr>
          <w:rFonts w:ascii="宋体" w:hAnsi="宋体" w:cs="宋体" w:hint="eastAsia"/>
          <w:kern w:val="0"/>
          <w:sz w:val="24"/>
          <w:szCs w:val="28"/>
        </w:rPr>
      </w:pPr>
      <w:r>
        <w:rPr>
          <w:rFonts w:ascii="宋体" w:hAnsi="宋体" w:cs="宋体"/>
          <w:kern w:val="0"/>
          <w:sz w:val="24"/>
          <w:szCs w:val="28"/>
        </w:rPr>
        <w:t>附件</w:t>
      </w:r>
      <w:r>
        <w:rPr>
          <w:rFonts w:ascii="宋体" w:hAnsi="宋体" w:cs="宋体" w:hint="eastAsia"/>
          <w:kern w:val="0"/>
          <w:sz w:val="24"/>
          <w:szCs w:val="28"/>
        </w:rPr>
        <w:t>1：</w:t>
      </w:r>
    </w:p>
    <w:p w:rsidR="000133D9" w:rsidRDefault="000133D9" w:rsidP="000133D9">
      <w:pPr>
        <w:widowControl/>
        <w:shd w:val="clear" w:color="auto" w:fill="FFFFFF"/>
        <w:spacing w:line="360" w:lineRule="auto"/>
        <w:jc w:val="center"/>
        <w:rPr>
          <w:rFonts w:ascii="黑体" w:eastAsia="黑体" w:hAnsi="黑体" w:cs="宋体" w:hint="eastAsia"/>
          <w:kern w:val="0"/>
          <w:sz w:val="28"/>
          <w:szCs w:val="28"/>
        </w:rPr>
      </w:pPr>
      <w:r>
        <w:rPr>
          <w:rFonts w:ascii="黑体" w:eastAsia="黑体" w:hAnsi="黑体" w:cs="宋体" w:hint="eastAsia"/>
          <w:kern w:val="0"/>
          <w:sz w:val="28"/>
          <w:szCs w:val="28"/>
        </w:rPr>
        <w:t>陕西师范大学首届“职遇·启行”大学生生涯体验周</w:t>
      </w:r>
      <w:r>
        <w:rPr>
          <w:rFonts w:ascii="黑体" w:eastAsia="黑体" w:hAnsi="黑体" w:cs="宋体"/>
          <w:kern w:val="0"/>
          <w:sz w:val="28"/>
          <w:szCs w:val="28"/>
        </w:rPr>
        <w:t>活动</w:t>
      </w:r>
      <w:r>
        <w:rPr>
          <w:rFonts w:ascii="黑体" w:eastAsia="黑体" w:hAnsi="黑体" w:cs="宋体" w:hint="eastAsia"/>
          <w:kern w:val="0"/>
          <w:sz w:val="28"/>
          <w:szCs w:val="28"/>
        </w:rPr>
        <w:t>安排</w:t>
      </w:r>
    </w:p>
    <w:p w:rsidR="000133D9" w:rsidRDefault="000133D9" w:rsidP="000133D9">
      <w:pPr>
        <w:widowControl/>
        <w:shd w:val="clear" w:color="auto" w:fill="FFFFFF"/>
        <w:spacing w:line="420" w:lineRule="atLeast"/>
        <w:ind w:firstLineChars="200" w:firstLine="482"/>
        <w:jc w:val="left"/>
        <w:rPr>
          <w:rFonts w:ascii="宋体" w:hAnsi="宋体" w:cs="宋体"/>
          <w:b/>
          <w:kern w:val="0"/>
          <w:sz w:val="24"/>
        </w:rPr>
      </w:pPr>
      <w:r>
        <w:rPr>
          <w:rFonts w:ascii="宋体" w:hAnsi="宋体" w:cs="宋体" w:hint="eastAsia"/>
          <w:b/>
          <w:kern w:val="0"/>
          <w:sz w:val="24"/>
        </w:rPr>
        <w:t>一、</w:t>
      </w:r>
      <w:r>
        <w:rPr>
          <w:rFonts w:ascii="宋体" w:hAnsi="宋体" w:cs="宋体"/>
          <w:b/>
          <w:kern w:val="0"/>
          <w:sz w:val="24"/>
        </w:rPr>
        <w:t>活动流程</w:t>
      </w:r>
    </w:p>
    <w:p w:rsidR="000133D9" w:rsidRDefault="000133D9" w:rsidP="000133D9">
      <w:pPr>
        <w:widowControl/>
        <w:shd w:val="clear" w:color="auto" w:fill="FFFFFF"/>
        <w:spacing w:line="420" w:lineRule="atLeast"/>
        <w:ind w:firstLineChars="200" w:firstLine="480"/>
        <w:jc w:val="left"/>
        <w:rPr>
          <w:rFonts w:ascii="宋体" w:hAnsi="宋体" w:cs="宋体"/>
          <w:kern w:val="0"/>
          <w:sz w:val="24"/>
        </w:rPr>
      </w:pPr>
      <w:r>
        <w:rPr>
          <w:rFonts w:ascii="宋体" w:hAnsi="宋体" w:cs="宋体" w:hint="eastAsia"/>
          <w:kern w:val="0"/>
          <w:sz w:val="24"/>
        </w:rPr>
        <w:t>1. 雁塔校区2017级辅导员按照2</w:t>
      </w:r>
      <w:r>
        <w:rPr>
          <w:rFonts w:ascii="宋体" w:hAnsi="宋体" w:cs="宋体"/>
          <w:kern w:val="0"/>
          <w:sz w:val="24"/>
        </w:rPr>
        <w:t>017级</w:t>
      </w:r>
      <w:r>
        <w:rPr>
          <w:rFonts w:ascii="宋体" w:hAnsi="宋体" w:cs="宋体" w:hint="eastAsia"/>
          <w:kern w:val="0"/>
          <w:sz w:val="24"/>
        </w:rPr>
        <w:t>学生人数统一领取并发放学生生涯手册。</w:t>
      </w:r>
    </w:p>
    <w:p w:rsidR="000133D9" w:rsidRDefault="000133D9" w:rsidP="000133D9">
      <w:pPr>
        <w:widowControl/>
        <w:shd w:val="clear" w:color="auto" w:fill="FFFFFF"/>
        <w:spacing w:line="420" w:lineRule="atLeast"/>
        <w:ind w:firstLineChars="200" w:firstLine="480"/>
        <w:jc w:val="left"/>
        <w:rPr>
          <w:rFonts w:ascii="宋体" w:hAnsi="宋体" w:cs="宋体"/>
          <w:kern w:val="0"/>
          <w:sz w:val="24"/>
        </w:rPr>
      </w:pPr>
      <w:r>
        <w:rPr>
          <w:rFonts w:ascii="宋体" w:hAnsi="宋体" w:cs="宋体" w:hint="eastAsia"/>
          <w:kern w:val="0"/>
          <w:sz w:val="24"/>
        </w:rPr>
        <w:t>2.各学院根据班级或专业课程安排合理组织学生参加活动，活动中学生需携带校园卡及已发放的生涯手册。</w:t>
      </w:r>
    </w:p>
    <w:p w:rsidR="000133D9" w:rsidRDefault="000133D9" w:rsidP="000133D9">
      <w:pPr>
        <w:widowControl/>
        <w:shd w:val="clear" w:color="auto" w:fill="FFFFFF"/>
        <w:spacing w:line="420" w:lineRule="atLeast"/>
        <w:ind w:firstLineChars="200" w:firstLine="480"/>
        <w:jc w:val="left"/>
        <w:rPr>
          <w:rFonts w:ascii="宋体" w:hAnsi="宋体" w:cs="宋体" w:hint="eastAsia"/>
          <w:kern w:val="0"/>
          <w:sz w:val="24"/>
        </w:rPr>
      </w:pPr>
      <w:r>
        <w:rPr>
          <w:rFonts w:ascii="宋体" w:hAnsi="宋体" w:cs="宋体" w:hint="eastAsia"/>
          <w:kern w:val="0"/>
          <w:sz w:val="24"/>
        </w:rPr>
        <w:t>3.非2017级雁塔校区本科生可携带校园卡于活动现场登记并领取生涯手册参加活动。</w:t>
      </w:r>
    </w:p>
    <w:p w:rsidR="000133D9" w:rsidRDefault="000133D9" w:rsidP="000133D9">
      <w:pPr>
        <w:widowControl/>
        <w:shd w:val="clear" w:color="auto" w:fill="FFFFFF"/>
        <w:spacing w:line="420" w:lineRule="atLeast"/>
        <w:ind w:firstLineChars="200" w:firstLine="480"/>
        <w:jc w:val="left"/>
        <w:rPr>
          <w:rFonts w:ascii="宋体" w:hAnsi="宋体" w:cs="宋体" w:hint="eastAsia"/>
          <w:kern w:val="0"/>
          <w:sz w:val="24"/>
        </w:rPr>
      </w:pPr>
      <w:r>
        <w:rPr>
          <w:rFonts w:ascii="宋体" w:hAnsi="宋体" w:cs="宋体"/>
          <w:kern w:val="0"/>
          <w:sz w:val="24"/>
        </w:rPr>
        <w:t>4</w:t>
      </w:r>
      <w:r>
        <w:rPr>
          <w:rFonts w:ascii="宋体" w:hAnsi="宋体" w:cs="宋体" w:hint="eastAsia"/>
          <w:kern w:val="0"/>
          <w:sz w:val="24"/>
        </w:rPr>
        <w:t>.雁塔校区2017级辅导员按照前期安排组织志愿者现场服务，校团委将予以志愿服务时数认定及评优。</w:t>
      </w:r>
    </w:p>
    <w:p w:rsidR="000133D9" w:rsidRDefault="000133D9" w:rsidP="000133D9">
      <w:pPr>
        <w:widowControl/>
        <w:shd w:val="clear" w:color="auto" w:fill="FFFFFF"/>
        <w:spacing w:line="420" w:lineRule="atLeast"/>
        <w:ind w:firstLineChars="200" w:firstLine="480"/>
        <w:jc w:val="left"/>
        <w:rPr>
          <w:rFonts w:ascii="宋体" w:hAnsi="宋体" w:cs="宋体" w:hint="eastAsia"/>
          <w:kern w:val="0"/>
          <w:sz w:val="24"/>
        </w:rPr>
      </w:pPr>
      <w:r>
        <w:rPr>
          <w:rFonts w:ascii="宋体" w:hAnsi="宋体" w:cs="宋体"/>
          <w:kern w:val="0"/>
          <w:sz w:val="24"/>
        </w:rPr>
        <w:t>5</w:t>
      </w:r>
      <w:r>
        <w:rPr>
          <w:rFonts w:ascii="宋体" w:hAnsi="宋体" w:cs="宋体" w:hint="eastAsia"/>
          <w:kern w:val="0"/>
          <w:sz w:val="24"/>
        </w:rPr>
        <w:t>.学生可自主选择参与关卡先后顺序，其中第13</w:t>
      </w:r>
      <w:proofErr w:type="gramStart"/>
      <w:r>
        <w:rPr>
          <w:rFonts w:ascii="宋体" w:hAnsi="宋体" w:cs="宋体" w:hint="eastAsia"/>
          <w:kern w:val="0"/>
          <w:sz w:val="24"/>
        </w:rPr>
        <w:t>关要求</w:t>
      </w:r>
      <w:proofErr w:type="gramEnd"/>
      <w:r>
        <w:rPr>
          <w:rFonts w:ascii="宋体" w:hAnsi="宋体" w:cs="宋体" w:hint="eastAsia"/>
          <w:kern w:val="0"/>
          <w:sz w:val="24"/>
        </w:rPr>
        <w:t>最后参与，每参加完一个关卡可得到盖章一枚。</w:t>
      </w:r>
    </w:p>
    <w:p w:rsidR="000133D9" w:rsidRDefault="000133D9" w:rsidP="000133D9">
      <w:pPr>
        <w:widowControl/>
        <w:shd w:val="clear" w:color="auto" w:fill="FFFFFF"/>
        <w:spacing w:line="420" w:lineRule="atLeast"/>
        <w:ind w:firstLineChars="200" w:firstLine="480"/>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.活动结束后，学生将生涯手册统一交回辅导员处，便于生涯档案建立及开展进一步生涯规划分析。</w:t>
      </w:r>
    </w:p>
    <w:p w:rsidR="000133D9" w:rsidRDefault="000133D9" w:rsidP="000133D9">
      <w:pPr>
        <w:widowControl/>
        <w:shd w:val="clear" w:color="auto" w:fill="FFFFFF"/>
        <w:spacing w:line="420" w:lineRule="atLeast"/>
        <w:ind w:firstLineChars="200" w:firstLine="482"/>
        <w:jc w:val="left"/>
        <w:rPr>
          <w:rFonts w:ascii="宋体" w:hAnsi="宋体" w:cs="宋体" w:hint="eastAsia"/>
          <w:b/>
          <w:kern w:val="0"/>
          <w:sz w:val="24"/>
        </w:rPr>
      </w:pPr>
      <w:r>
        <w:rPr>
          <w:rFonts w:ascii="宋体" w:hAnsi="宋体" w:cs="宋体" w:hint="eastAsia"/>
          <w:b/>
          <w:kern w:val="0"/>
          <w:sz w:val="24"/>
        </w:rPr>
        <w:t>二、活动关卡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8"/>
        <w:gridCol w:w="3791"/>
      </w:tblGrid>
      <w:tr w:rsidR="000133D9" w:rsidTr="007151C9">
        <w:trPr>
          <w:trHeight w:val="95"/>
          <w:jc w:val="center"/>
        </w:trPr>
        <w:tc>
          <w:tcPr>
            <w:tcW w:w="4528" w:type="dxa"/>
            <w:vAlign w:val="center"/>
          </w:tcPr>
          <w:p w:rsidR="000133D9" w:rsidRDefault="000133D9" w:rsidP="007151C9">
            <w:pPr>
              <w:widowControl/>
              <w:spacing w:line="420" w:lineRule="atLeast"/>
              <w:jc w:val="center"/>
              <w:rPr>
                <w:rFonts w:ascii="宋体" w:hAnsi="宋体" w:cs="宋体"/>
                <w:b/>
                <w:kern w:val="0"/>
                <w:szCs w:val="21"/>
              </w:rPr>
            </w:pPr>
            <w:r>
              <w:rPr>
                <w:rFonts w:ascii="宋体" w:hAnsi="宋体" w:cs="宋体" w:hint="eastAsia"/>
                <w:b/>
                <w:kern w:val="0"/>
                <w:szCs w:val="21"/>
              </w:rPr>
              <w:t>区域</w:t>
            </w:r>
          </w:p>
        </w:tc>
        <w:tc>
          <w:tcPr>
            <w:tcW w:w="3791" w:type="dxa"/>
            <w:vAlign w:val="center"/>
          </w:tcPr>
          <w:p w:rsidR="000133D9" w:rsidRDefault="000133D9" w:rsidP="007151C9">
            <w:pPr>
              <w:widowControl/>
              <w:spacing w:line="420" w:lineRule="atLeast"/>
              <w:ind w:firstLineChars="294" w:firstLine="620"/>
              <w:jc w:val="left"/>
              <w:rPr>
                <w:rFonts w:ascii="宋体" w:hAnsi="宋体" w:cs="宋体"/>
                <w:b/>
                <w:kern w:val="0"/>
                <w:szCs w:val="21"/>
              </w:rPr>
            </w:pPr>
            <w:r>
              <w:rPr>
                <w:rFonts w:ascii="宋体" w:hAnsi="宋体" w:cs="宋体" w:hint="eastAsia"/>
                <w:b/>
                <w:kern w:val="0"/>
                <w:szCs w:val="21"/>
              </w:rPr>
              <w:t>关卡序号及名称</w:t>
            </w:r>
          </w:p>
        </w:tc>
      </w:tr>
      <w:tr w:rsidR="000133D9" w:rsidTr="007151C9">
        <w:trPr>
          <w:trHeight w:val="95"/>
          <w:jc w:val="center"/>
        </w:trPr>
        <w:tc>
          <w:tcPr>
            <w:tcW w:w="4528"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开篇引流</w:t>
            </w: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 xml:space="preserve">1.人生四格             </w:t>
            </w:r>
          </w:p>
        </w:tc>
      </w:tr>
      <w:tr w:rsidR="000133D9" w:rsidTr="007151C9">
        <w:trPr>
          <w:trHeight w:val="333"/>
          <w:jc w:val="center"/>
        </w:trPr>
        <w:tc>
          <w:tcPr>
            <w:tcW w:w="4528" w:type="dxa"/>
            <w:vMerge w:val="restart"/>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 xml:space="preserve">自我认知 </w:t>
            </w: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2.疯狂动物城</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3.人格格子铺</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4.梦想家</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5.大学校园的满足与放弃</w:t>
            </w:r>
          </w:p>
        </w:tc>
      </w:tr>
      <w:tr w:rsidR="000133D9" w:rsidTr="007151C9">
        <w:trPr>
          <w:trHeight w:val="333"/>
          <w:jc w:val="center"/>
        </w:trPr>
        <w:tc>
          <w:tcPr>
            <w:tcW w:w="4528" w:type="dxa"/>
            <w:vMerge w:val="restart"/>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外部探索</w:t>
            </w: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6.21世纪生涯发展模式</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7.兴趣是舵</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8.能力是马达</w:t>
            </w:r>
          </w:p>
        </w:tc>
      </w:tr>
      <w:tr w:rsidR="000133D9" w:rsidTr="007151C9">
        <w:trPr>
          <w:trHeight w:val="333"/>
          <w:jc w:val="center"/>
        </w:trPr>
        <w:tc>
          <w:tcPr>
            <w:tcW w:w="4528" w:type="dxa"/>
            <w:vMerge w:val="restart"/>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促进行动区域</w:t>
            </w: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9.</w:t>
            </w:r>
            <w:proofErr w:type="gramStart"/>
            <w:r>
              <w:rPr>
                <w:rFonts w:ascii="宋体" w:hAnsi="宋体" w:cs="宋体" w:hint="eastAsia"/>
                <w:kern w:val="0"/>
                <w:szCs w:val="21"/>
              </w:rPr>
              <w:t>围猫游戏</w:t>
            </w:r>
            <w:proofErr w:type="gramEnd"/>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10.我是自己的CEO</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11.大学期间行动</w:t>
            </w:r>
          </w:p>
        </w:tc>
      </w:tr>
      <w:tr w:rsidR="000133D9" w:rsidTr="007151C9">
        <w:trPr>
          <w:trHeight w:val="95"/>
          <w:jc w:val="center"/>
        </w:trPr>
        <w:tc>
          <w:tcPr>
            <w:tcW w:w="4528" w:type="dxa"/>
            <w:vMerge/>
            <w:vAlign w:val="center"/>
          </w:tcPr>
          <w:p w:rsidR="000133D9" w:rsidRDefault="000133D9" w:rsidP="007151C9">
            <w:pPr>
              <w:widowControl/>
              <w:spacing w:line="420" w:lineRule="atLeast"/>
              <w:jc w:val="center"/>
              <w:rPr>
                <w:rFonts w:ascii="宋体" w:hAnsi="宋体" w:cs="宋体"/>
                <w:kern w:val="0"/>
                <w:szCs w:val="21"/>
              </w:rPr>
            </w:pP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12.小行动</w:t>
            </w:r>
            <w:proofErr w:type="gramStart"/>
            <w:r>
              <w:rPr>
                <w:rFonts w:ascii="宋体" w:hAnsi="宋体" w:cs="宋体" w:hint="eastAsia"/>
                <w:kern w:val="0"/>
                <w:szCs w:val="21"/>
              </w:rPr>
              <w:t>大成长</w:t>
            </w:r>
            <w:proofErr w:type="gramEnd"/>
          </w:p>
        </w:tc>
      </w:tr>
      <w:tr w:rsidR="000133D9" w:rsidTr="007151C9">
        <w:trPr>
          <w:trHeight w:val="333"/>
          <w:jc w:val="center"/>
        </w:trPr>
        <w:tc>
          <w:tcPr>
            <w:tcW w:w="4528" w:type="dxa"/>
            <w:vAlign w:val="center"/>
          </w:tcPr>
          <w:p w:rsidR="000133D9" w:rsidRDefault="000133D9" w:rsidP="007151C9">
            <w:pPr>
              <w:widowControl/>
              <w:spacing w:line="420" w:lineRule="atLeast"/>
              <w:jc w:val="center"/>
              <w:rPr>
                <w:rFonts w:ascii="宋体" w:hAnsi="宋体" w:cs="宋体"/>
                <w:kern w:val="0"/>
                <w:szCs w:val="21"/>
              </w:rPr>
            </w:pPr>
            <w:r>
              <w:rPr>
                <w:rFonts w:ascii="宋体" w:hAnsi="宋体" w:cs="宋体" w:hint="eastAsia"/>
                <w:kern w:val="0"/>
                <w:szCs w:val="21"/>
              </w:rPr>
              <w:t>总结区域</w:t>
            </w:r>
          </w:p>
        </w:tc>
        <w:tc>
          <w:tcPr>
            <w:tcW w:w="3791" w:type="dxa"/>
            <w:vAlign w:val="center"/>
          </w:tcPr>
          <w:p w:rsidR="000133D9" w:rsidRDefault="000133D9" w:rsidP="007151C9">
            <w:pPr>
              <w:widowControl/>
              <w:spacing w:line="420" w:lineRule="atLeast"/>
              <w:jc w:val="center"/>
              <w:rPr>
                <w:rFonts w:ascii="宋体" w:hAnsi="宋体" w:cs="宋体" w:hint="eastAsia"/>
                <w:kern w:val="0"/>
                <w:szCs w:val="21"/>
              </w:rPr>
            </w:pPr>
            <w:r>
              <w:rPr>
                <w:rFonts w:ascii="宋体" w:hAnsi="宋体" w:cs="宋体" w:hint="eastAsia"/>
                <w:kern w:val="0"/>
                <w:szCs w:val="21"/>
              </w:rPr>
              <w:t>13.生涯决策困难的诊断</w:t>
            </w:r>
          </w:p>
        </w:tc>
      </w:tr>
    </w:tbl>
    <w:p w:rsidR="000133D9" w:rsidRDefault="000133D9" w:rsidP="000133D9">
      <w:pPr>
        <w:widowControl/>
        <w:snapToGrid w:val="0"/>
        <w:spacing w:line="420" w:lineRule="atLeast"/>
        <w:rPr>
          <w:rStyle w:val="a3"/>
          <w:rFonts w:ascii="宋体" w:hAnsi="宋体" w:cs="宋体"/>
          <w:b w:val="0"/>
          <w:bCs/>
          <w:kern w:val="0"/>
          <w:sz w:val="24"/>
        </w:rPr>
      </w:pPr>
      <w:r>
        <w:rPr>
          <w:rStyle w:val="a3"/>
          <w:rFonts w:ascii="宋体" w:hAnsi="宋体" w:cs="宋体" w:hint="eastAsia"/>
          <w:b w:val="0"/>
          <w:bCs/>
          <w:kern w:val="0"/>
          <w:sz w:val="24"/>
        </w:rPr>
        <w:t>如有任何疑问，请联系外国语学院李丹老师，85307738。</w:t>
      </w:r>
    </w:p>
    <w:p w:rsidR="007619DE" w:rsidRPr="000133D9" w:rsidRDefault="007619DE">
      <w:bookmarkStart w:id="0" w:name="_GoBack"/>
      <w:bookmarkEnd w:id="0"/>
    </w:p>
    <w:sectPr w:rsidR="007619DE" w:rsidRPr="000133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D9"/>
    <w:rsid w:val="000133D9"/>
    <w:rsid w:val="0076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417B-4565-4BA5-9143-6C918E48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133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Hewlett-Packard Company</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2017-10-16T01:02:00Z</dcterms:created>
  <dcterms:modified xsi:type="dcterms:W3CDTF">2017-10-16T01:02:00Z</dcterms:modified>
</cp:coreProperties>
</file>